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400" w:after="40"/>
        <w:jc w:val="center"/>
      </w:pPr>
      <w:r>
        <w:rPr>
          <w:rFonts w:ascii="Arial" w:cs="Arial" w:eastAsia="Arial" w:hAnsi="Arial"/>
          <w:b/>
          <w:bCs/>
          <w:caps/>
          <w:color w:val="2E75B6"/>
          <w:sz w:val="28"/>
          <w:szCs w:val="28"/>
        </w:rPr>
        <w:t xml:space="preserve">WHITE PAPER</w:t>
      </w:r>
    </w:p>
    <w:p>
      <w:pPr>
        <w:spacing w:before="40" w:after="40"/>
        <w:jc w:val="center"/>
      </w:pPr>
      <w:r>
        <w:rPr>
          <w:rFonts w:ascii="Arial" w:cs="Arial" w:eastAsia="Arial" w:hAnsi="Arial"/>
          <w:b/>
          <w:bCs/>
          <w:color w:val="1F3864"/>
          <w:sz w:val="52"/>
          <w:szCs w:val="52"/>
        </w:rPr>
        <w:t xml:space="preserve">Digital Infrastructure:</w:t>
      </w:r>
    </w:p>
    <w:p>
      <w:pPr>
        <w:spacing w:before="0" w:after="80"/>
        <w:jc w:val="center"/>
      </w:pPr>
      <w:r>
        <w:rPr>
          <w:rFonts w:ascii="Arial" w:cs="Arial" w:eastAsia="Arial" w:hAnsi="Arial"/>
          <w:b/>
          <w:bCs/>
          <w:color w:val="1F3864"/>
          <w:sz w:val="52"/>
          <w:szCs w:val="52"/>
        </w:rPr>
        <w:t xml:space="preserve">Earth First, Space Later</w:t>
      </w:r>
    </w:p>
    <w:p>
      <w:pPr>
        <w:pBdr>
          <w:bottom w:val="single" w:color="2E75B6" w:sz="6" w:space="1"/>
        </w:pBdr>
        <w:spacing w:before="0" w:after="200"/>
        <w:jc w:val="center"/>
      </w:pPr>
      <w:r>
        <w:rPr>
          <w:rFonts w:ascii="Arial" w:cs="Arial" w:eastAsia="Arial" w:hAnsi="Arial"/>
          <w:i/>
          <w:iCs/>
          <w:color w:val="595959"/>
          <w:sz w:val="24"/>
          <w:szCs w:val="24"/>
        </w:rPr>
        <w:t xml:space="preserve">TERAfab, LEO, the Moon: Common Sense, Physics and Economics</w:t>
      </w:r>
    </w:p>
    <w:p>
      <w:pPr>
        <w:spacing w:before="80" w:after="80"/>
      </w:pPr>
      <w:r>
        <w:t xml:space="preserve"/>
      </w:r>
    </w:p>
    <w:p>
      <w:pPr>
        <w:jc w:val="center"/>
      </w:pPr>
      <w:r>
        <w:rPr>
          <w:rFonts w:ascii="Arial" w:cs="Arial" w:eastAsia="Arial" w:hAnsi="Arial"/>
          <w:b/>
          <w:bCs/>
          <w:color w:val="1F3864"/>
          <w:sz w:val="28"/>
          <w:szCs w:val="28"/>
        </w:rPr>
        <w:t xml:space="preserve">Laurent Duval</w:t>
      </w:r>
    </w:p>
    <w:p>
      <w:pPr>
        <w:jc w:val="center"/>
      </w:pPr>
      <w:r>
        <w:rPr>
          <w:rFonts w:ascii="Arial" w:cs="Arial" w:eastAsia="Arial" w:hAnsi="Arial"/>
          <w:color w:val="595959"/>
          <w:sz w:val="22"/>
          <w:szCs w:val="22"/>
        </w:rPr>
        <w:t xml:space="preserve">CEO — ADS-B NETWORK SAS</w:t>
      </w:r>
    </w:p>
    <w:p>
      <w:pPr>
        <w:spacing w:after="80"/>
        <w:jc w:val="center"/>
      </w:pPr>
      <w:r>
        <w:rPr>
          <w:rFonts w:ascii="Arial" w:cs="Arial" w:eastAsia="Arial" w:hAnsi="Arial"/>
          <w:i/>
          <w:iCs/>
          <w:color w:val="595959"/>
          <w:sz w:val="20"/>
          <w:szCs w:val="20"/>
        </w:rPr>
        <w:t xml:space="preserve">40 years of experience in telecommunications, embedded systems and aerospace surveillance</w:t>
      </w:r>
    </w:p>
    <w:p>
      <w:pPr>
        <w:spacing w:before="200"/>
        <w:jc w:val="center"/>
      </w:pPr>
      <w:r>
        <w:rPr>
          <w:rFonts w:ascii="Arial" w:cs="Arial" w:eastAsia="Arial" w:hAnsi="Arial"/>
          <w:b/>
          <w:bCs/>
          <w:color w:val="2E75B6"/>
          <w:sz w:val="22"/>
          <w:szCs w:val="22"/>
        </w:rPr>
        <w:t xml:space="preserve">March 24, 2026 — Version 2.0</w:t>
      </w:r>
    </w:p>
    <w:p>
      <w:pPr>
        <w:spacing w:before="80" w:after="80"/>
      </w:pPr>
      <w:r>
        <w:t xml:space="preserve"/>
      </w:r>
    </w:p>
    <w:p>
      <w:pPr>
        <w:pBdr>
          <w:top w:val="single" w:color="D6DCE4" w:sz="4" w:space="4"/>
          <w:bottom w:val="single" w:color="D6DCE4" w:sz="4" w:space="4"/>
        </w:pBdr>
        <w:spacing w:before="80" w:after="80"/>
        <w:jc w:val="center"/>
      </w:pPr>
      <w:r>
        <w:rPr>
          <w:rFonts w:ascii="Arial" w:cs="Arial" w:eastAsia="Arial" w:hAnsi="Arial"/>
          <w:i/>
          <w:iCs/>
          <w:color w:val="595959"/>
          <w:sz w:val="17"/>
          <w:szCs w:val="17"/>
        </w:rPr>
        <w:t xml:space="preserve">This document reflects the author's personal views only. Based on publicly available data verified as of March 24, 2026. All opinions expressed are strictly personal.</w:t>
      </w:r>
    </w:p>
    <w:p>
      <w:r>
        <w:br w:type="page"/>
      </w:r>
    </w:p>
    <w:p>
      <w:pPr>
        <w:pStyle w:val="Heading1"/>
        <w:spacing w:before="320" w:after="160"/>
      </w:pPr>
      <w:r>
        <w:rPr>
          <w:rFonts w:ascii="Arial" w:cs="Arial" w:eastAsia="Arial" w:hAnsi="Arial"/>
          <w:b/>
          <w:bCs/>
          <w:color w:val="1F3864"/>
          <w:sz w:val="36"/>
          <w:szCs w:val="36"/>
        </w:rPr>
        <w:t xml:space="preserve">Executive Summary</w:t>
      </w:r>
    </w:p>
    <w:p>
      <w:pPr>
        <w:spacing w:before="60" w:after="100"/>
        <w:jc w:val="both"/>
      </w:pPr>
      <w:r>
        <w:rPr>
          <w:rFonts w:ascii="Arial" w:cs="Arial" w:eastAsia="Arial" w:hAnsi="Arial"/>
          <w:b w:val="false"/>
          <w:bCs w:val="false"/>
          <w:i w:val="false"/>
          <w:iCs w:val="false"/>
          <w:color w:val="000000"/>
          <w:sz w:val="20"/>
          <w:szCs w:val="20"/>
        </w:rPr>
        <w:t xml:space="preserve">On March 22, 2026, Elon Musk officially launched TERAfab in Austin, Texas — a 2nm semiconductor facility jointly operated by Tesla, SpaceX and xAI, targeting 1 terawatt of annual computing power, with 80% destined for space deployment. This white paper analyses why this announcement, spectacular in its framing, raises fundamental questions of technical and economic common sense that no pitch deck has yet answered.</w:t>
      </w:r>
    </w:p>
    <w:p>
      <w:pPr>
        <w:spacing w:before="60" w:after="100"/>
        <w:jc w:val="both"/>
      </w:pPr>
      <w:r>
        <w:rPr>
          <w:rFonts w:ascii="Arial" w:cs="Arial" w:eastAsia="Arial" w:hAnsi="Arial"/>
          <w:b w:val="false"/>
          <w:bCs w:val="false"/>
          <w:i w:val="false"/>
          <w:iCs w:val="false"/>
          <w:color w:val="000000"/>
          <w:sz w:val="20"/>
          <w:szCs w:val="20"/>
        </w:rPr>
        <w:t xml:space="preserve">After 40 years of designing and deploying embedded systems in extreme environments, the author defends a straightforward thesis: before further polluting low Earth orbit and gambling billions on the Moon, we have proven, cost-effective and resilient solutions on Earth that we are not yet exploiting to their full potential.</w:t>
      </w:r>
    </w:p>
    <w:p>
      <w:pPr>
        <w:spacing w:before="80" w:after="80"/>
      </w:pPr>
      <w:r>
        <w:t xml:space="preserve"/>
      </w:r>
    </w:p>
    <w:p>
      <w:pPr>
        <w:pStyle w:val="Heading2"/>
        <w:spacing w:before="240" w:after="120"/>
      </w:pPr>
      <w:r>
        <w:rPr>
          <w:rFonts w:ascii="Arial" w:cs="Arial" w:eastAsia="Arial" w:hAnsi="Arial"/>
          <w:b/>
          <w:bCs/>
          <w:color w:val="2E75B6"/>
          <w:sz w:val="28"/>
          <w:szCs w:val="28"/>
        </w:rPr>
        <w:t xml:space="preserve">8 Key Conclusions — Version 2.0</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TERAfab resolves none of the fundamental physical constraints of the orbital environment — radiation, thermal management, Kessler debris, absence of magnetosphere.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80% of production destined for space precedes any published feasibility demonstration — and follows by weeks a SpaceX IPO targeting $50 billion.</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Underground geothermal datacenters offer today: energy at $50/MWh, EMP and drone protection, contractable 99.999% SLA, 30-minute on-site maintenance.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The Kessler syndrome is already active between 700 and 1,500 km altitude. Every new constellation added worsens a problem with no proven large-scale removal solution.</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Solar flares from cycle 25 (peak since late 2024) have demonstrated the vulnerability of LEO infrastructure without magnetospheric protection.</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Rad-hard space memory costs 100 to 1,000 times the price of commercial DRAM and runs on nodes 1 to 3 generations behind — fundamentally incompatible with mass-market datacenter performance requirements.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NEW v2.0 — The GPU/MRAM renewal paradox: the economic refresh cycle (2–3 years) is incompatible with the physical satellite lifespan (5–6 years), forcing permanent replacement launches with no global supply chain capable of sustaining this at scale.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NEW v2.0 — The raw materials and supply chain question: no global foundry can absorb rad-hard memory orders at datacenter scale. That industrial ecosystem does not yet exist.</w:t>
      </w:r>
    </w:p>
    <w:p>
      <w:r>
        <w:br w:type="page"/>
      </w:r>
    </w:p>
    <w:p>
      <w:pPr>
        <w:pStyle w:val="Heading1"/>
        <w:spacing w:before="320" w:after="160"/>
      </w:pPr>
      <w:r>
        <w:rPr>
          <w:rFonts w:ascii="Arial" w:cs="Arial" w:eastAsia="Arial" w:hAnsi="Arial"/>
          <w:b/>
          <w:bCs/>
          <w:color w:val="1F3864"/>
          <w:sz w:val="36"/>
          <w:szCs w:val="36"/>
        </w:rPr>
        <w:t xml:space="preserve">1. TERAfab — The Facts of March 22, 2026</w:t>
      </w:r>
    </w:p>
    <w:p>
      <w:pPr>
        <w:pStyle w:val="Heading2"/>
        <w:spacing w:before="240" w:after="120"/>
      </w:pPr>
      <w:r>
        <w:rPr>
          <w:rFonts w:ascii="Arial" w:cs="Arial" w:eastAsia="Arial" w:hAnsi="Arial"/>
          <w:b/>
          <w:bCs/>
          <w:color w:val="2E75B6"/>
          <w:sz w:val="28"/>
          <w:szCs w:val="28"/>
        </w:rPr>
        <w:t xml:space="preserve">1.1 The Announcement</w:t>
      </w:r>
    </w:p>
    <w:p>
      <w:pPr>
        <w:spacing w:before="60" w:after="100"/>
        <w:jc w:val="both"/>
      </w:pPr>
      <w:r>
        <w:rPr>
          <w:rFonts w:ascii="Arial" w:cs="Arial" w:eastAsia="Arial" w:hAnsi="Arial"/>
          <w:b w:val="false"/>
          <w:bCs w:val="false"/>
          <w:i w:val="false"/>
          <w:iCs w:val="false"/>
          <w:color w:val="000000"/>
          <w:sz w:val="20"/>
          <w:szCs w:val="20"/>
        </w:rPr>
        <w:t xml:space="preserve">Elon Musk took the stage at Austin's former Seaholm Power Plant to officially launch TERAfab, described as "the most epic chip building exercise in history by far." The project unites Tesla, SpaceX and xAI under a single vertically integrated semiconductor manufacturing ambition.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Criterion</w:t>
            </w:r>
          </w:p>
        </w:tc>
        <w:tc>
          <w:tcPr>
            <w:tcW w:type="dxa" w:w="6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Announced Data</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Investment</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$20 to $25 billion</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Process node</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 nanometers (2nm)</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Production target</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 terawatt of computing power per year</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Location</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North Campus Giga Texas, Austin</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Operators</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Tesla + SpaceX + xAI (SpaceX subsidiary since February 2026)</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Production split</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20% Earth (AI5 chips for FSD/Optimus), 80% Space (D3 orbital chips)</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Project launch</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March 21, 2026 (announcement), construction to begin</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Planned SpaceX IPO</w:t>
            </w:r>
          </w:p>
        </w:tc>
        <w:tc>
          <w:tcPr>
            <w:tcW w:type="dxa" w:w="61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Summer 2026 — target raise $50 billion</w:t>
            </w:r>
          </w:p>
        </w:tc>
      </w:tr>
    </w:tbl>
    <w:p>
      <w:pPr>
        <w:spacing w:before="80" w:after="80"/>
      </w:pPr>
      <w:r>
        <w:t xml:space="preserve"/>
      </w:r>
    </w:p>
    <w:p>
      <w:pPr>
        <w:pStyle w:val="Heading2"/>
        <w:spacing w:before="240" w:after="120"/>
      </w:pPr>
      <w:r>
        <w:rPr>
          <w:rFonts w:ascii="Arial" w:cs="Arial" w:eastAsia="Arial" w:hAnsi="Arial"/>
          <w:b/>
          <w:bCs/>
          <w:color w:val="2E75B6"/>
          <w:sz w:val="28"/>
          <w:szCs w:val="28"/>
        </w:rPr>
        <w:t xml:space="preserve">1.2 The Sequence That Raises Questions</w:t>
      </w:r>
    </w:p>
    <w:p>
      <w:pPr>
        <w:spacing w:before="60" w:after="100"/>
        <w:jc w:val="both"/>
      </w:pPr>
      <w:r>
        <w:rPr>
          <w:rFonts w:ascii="Arial" w:cs="Arial" w:eastAsia="Arial" w:hAnsi="Arial"/>
          <w:b w:val="false"/>
          <w:bCs w:val="false"/>
          <w:i w:val="false"/>
          <w:iCs w:val="false"/>
          <w:color w:val="000000"/>
          <w:sz w:val="20"/>
          <w:szCs w:val="20"/>
        </w:rPr>
        <w:t xml:space="preserve">Musk himself formulates the central argument: "We either build the Terafab or we don't have the chips, and we need the chips, so we build the Terafab." This circular logic deserves scrutiny: is the need for space chips driven by proven use cases, or by an IPO narrative?</w:t>
      </w:r>
    </w:p>
    <w:p>
      <w:pPr>
        <w:pBdr>
          <w:left w:val="thick" w:color="2E75B6" w:sz="12"/>
        </w:pBdr>
        <w:spacing w:before="120" w:after="120"/>
        <w:ind w:left="360"/>
        <w:jc w:val="both"/>
      </w:pPr>
      <w:r>
        <w:rPr>
          <w:rFonts w:ascii="Arial" w:cs="Arial" w:eastAsia="Arial" w:hAnsi="Arial"/>
          <w:i/>
          <w:iCs/>
          <w:color w:val="595959"/>
          <w:sz w:val="19"/>
          <w:szCs w:val="19"/>
        </w:rPr>
        <w:t xml:space="preserve">The timeline speaks for itself: TERAfab announcement March 21, 2026 → SpaceX IPO targeting $50 billion announced for Summer 2026. The announcement precedes the proof. The IPO precedes the wafer. The narrative precedes the physics.</w:t>
      </w:r>
    </w:p>
    <w:p>
      <w:pPr>
        <w:pStyle w:val="Heading2"/>
        <w:spacing w:before="240" w:after="120"/>
      </w:pPr>
      <w:r>
        <w:rPr>
          <w:rFonts w:ascii="Arial" w:cs="Arial" w:eastAsia="Arial" w:hAnsi="Arial"/>
          <w:b/>
          <w:bCs/>
          <w:color w:val="2E75B6"/>
          <w:sz w:val="28"/>
          <w:szCs w:val="28"/>
        </w:rPr>
        <w:t xml:space="preserve">1.3 What the Announcement Does Not Say</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No precise production timeline is provided. A greenfield 2nm fab takes 4 to 5 years under ideal conditions worldwide.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Musk has zero background in semiconductor manufacturing. TSMC took decades to master this level. Intel is spending $65+ billion on its Arizona site alone.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The D3 chips "designed for space" have no published technical specification. No radiation qualification testing has been announced.</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SpaceX has filed an FCC request to launch 1 million datacenter satellites — with no published orbital impact assessment.</w:t>
      </w:r>
    </w:p>
    <w:p>
      <w:r>
        <w:br w:type="page"/>
      </w:r>
    </w:p>
    <w:p>
      <w:pPr>
        <w:pStyle w:val="Heading1"/>
        <w:spacing w:before="320" w:after="160"/>
      </w:pPr>
      <w:r>
        <w:rPr>
          <w:rFonts w:ascii="Arial" w:cs="Arial" w:eastAsia="Arial" w:hAnsi="Arial"/>
          <w:b/>
          <w:bCs/>
          <w:color w:val="1F3864"/>
          <w:sz w:val="36"/>
          <w:szCs w:val="36"/>
        </w:rPr>
        <w:t xml:space="preserve">2. What Physics Says — And TERAfab Does Not Resolve</w:t>
      </w:r>
    </w:p>
    <w:p>
      <w:pPr>
        <w:pStyle w:val="Heading2"/>
        <w:spacing w:before="240" w:after="120"/>
      </w:pPr>
      <w:r>
        <w:rPr>
          <w:rFonts w:ascii="Arial" w:cs="Arial" w:eastAsia="Arial" w:hAnsi="Arial"/>
          <w:b/>
          <w:bCs/>
          <w:color w:val="2E75B6"/>
          <w:sz w:val="28"/>
          <w:szCs w:val="28"/>
        </w:rPr>
        <w:t xml:space="preserve">2.1 LEO Radiation: An Incompressible Constraint</w:t>
      </w:r>
    </w:p>
    <w:p>
      <w:pPr>
        <w:spacing w:before="60" w:after="100"/>
        <w:jc w:val="both"/>
      </w:pPr>
      <w:r>
        <w:rPr>
          <w:rFonts w:ascii="Arial" w:cs="Arial" w:eastAsia="Arial" w:hAnsi="Arial"/>
          <w:b w:val="false"/>
          <w:bCs w:val="false"/>
          <w:i w:val="false"/>
          <w:iCs w:val="false"/>
          <w:color w:val="000000"/>
          <w:sz w:val="20"/>
          <w:szCs w:val="20"/>
        </w:rPr>
        <w:t xml:space="preserve">Manufacturing your own 2nm chips does not change the laws of orbital physics. In low Earth orbit, exposure to cosmic radiation reaches 100 to 400 mSv/year — 50 to 200 times the exposure at Earth's surface protected by the magnetosphere.</w:t>
      </w:r>
    </w:p>
    <w:p>
      <w:pPr>
        <w:spacing w:before="60" w:after="100"/>
        <w:jc w:val="both"/>
      </w:pPr>
      <w:r>
        <w:rPr>
          <w:rFonts w:ascii="Arial" w:cs="Arial" w:eastAsia="Arial" w:hAnsi="Arial"/>
          <w:b w:val="false"/>
          <w:bCs w:val="false"/>
          <w:i w:val="false"/>
          <w:iCs w:val="false"/>
          <w:color w:val="000000"/>
          <w:sz w:val="20"/>
          <w:szCs w:val="20"/>
        </w:rPr>
        <w:t xml:space="preserve">The consequences are mechanical: Single Event Upsets (bit flips), cumulative junction damage, gate oxide degradation. The D3 chips announced by Musk will either require hardening (nodes &gt;= 65nm, degraded performance) or Triple Modular Redundancy protection (3x the silicon, 3x the cost, 3x the launch mass).</w:t>
      </w:r>
    </w:p>
    <w:p>
      <w:pPr>
        <w:pBdr>
          <w:left w:val="thick" w:color="2E75B6" w:sz="12"/>
        </w:pBdr>
        <w:spacing w:before="120" w:after="120"/>
        <w:ind w:left="360"/>
        <w:jc w:val="both"/>
      </w:pPr>
      <w:r>
        <w:rPr>
          <w:rFonts w:ascii="Arial" w:cs="Arial" w:eastAsia="Arial" w:hAnsi="Arial"/>
          <w:i/>
          <w:iCs/>
          <w:color w:val="595959"/>
          <w:sz w:val="19"/>
          <w:szCs w:val="19"/>
        </w:rPr>
        <w:t xml:space="preserve">Fundamental irony: TERAfab targets the 2nm node for maximum performance. Radiation constraints in LEO impose 65–180nm nodes for space qualification. These two objectives are physically contradictory.</w:t>
      </w:r>
    </w:p>
    <w:p>
      <w:pPr>
        <w:pStyle w:val="Heading2"/>
        <w:spacing w:before="240" w:after="120"/>
      </w:pPr>
      <w:r>
        <w:rPr>
          <w:rFonts w:ascii="Arial" w:cs="Arial" w:eastAsia="Arial" w:hAnsi="Arial"/>
          <w:b/>
          <w:bCs/>
          <w:color w:val="2E75B6"/>
          <w:sz w:val="28"/>
          <w:szCs w:val="28"/>
        </w:rPr>
        <w:t xml:space="preserve">2.2 The Kessler Syndrome: Already Active</w:t>
      </w:r>
    </w:p>
    <w:p>
      <w:pPr>
        <w:spacing w:before="60" w:after="100"/>
        <w:jc w:val="both"/>
      </w:pPr>
      <w:r>
        <w:rPr>
          <w:rFonts w:ascii="Arial" w:cs="Arial" w:eastAsia="Arial" w:hAnsi="Arial"/>
          <w:b w:val="false"/>
          <w:bCs w:val="false"/>
          <w:i w:val="false"/>
          <w:iCs w:val="false"/>
          <w:color w:val="000000"/>
          <w:sz w:val="20"/>
          <w:szCs w:val="20"/>
        </w:rPr>
        <w:t xml:space="preserve">Christophe Bonnal, 30 years of debris expertise at CNES: between 700 and 1,500 km altitude, debris generates more debris through chain-reaction collisions. This is no longer a future risk. It is the present reality.</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500"/>
        <w:gridCol w:w="2860"/>
      </w:tblGrid>
      <w:tr>
        <w:trPr>
          <w:tblHeader/>
        </w:trPr>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Debris Category</w:t>
            </w:r>
          </w:p>
        </w:tc>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Estimated Count (ESA 2025)</w:t>
            </w:r>
          </w:p>
        </w:tc>
        <w:tc>
          <w:tcPr>
            <w:tcW w:type="dxa" w:w="2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Radar Visibility</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&gt; 10 cm</w:t>
            </w:r>
          </w:p>
        </w:tc>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40,000+</w:t>
            </w:r>
          </w:p>
        </w:tc>
        <w:tc>
          <w:tcPr>
            <w:tcW w:type="dxa" w:w="286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Yes — tracked</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 cm to 10 cm</w:t>
            </w:r>
          </w:p>
        </w:tc>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1,000,000+</w:t>
            </w:r>
          </w:p>
        </w:tc>
        <w:tc>
          <w:tcPr>
            <w:tcW w:type="dxa" w:w="286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Partial</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 mm to 1 cm</w:t>
            </w:r>
          </w:p>
        </w:tc>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130,000,000+</w:t>
            </w:r>
          </w:p>
        </w:tc>
        <w:tc>
          <w:tcPr>
            <w:tcW w:type="dxa" w:w="28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 invisible</w:t>
            </w:r>
          </w:p>
        </w:tc>
      </w:tr>
    </w:tbl>
    <w:p>
      <w:pPr>
        <w:spacing w:before="80" w:after="80"/>
      </w:pPr>
      <w:r>
        <w:t xml:space="preserve"/>
      </w:r>
    </w:p>
    <w:p>
      <w:pPr>
        <w:spacing w:before="60" w:after="100"/>
        <w:jc w:val="both"/>
      </w:pPr>
      <w:r>
        <w:rPr>
          <w:rFonts w:ascii="Arial" w:cs="Arial" w:eastAsia="Arial" w:hAnsi="Arial"/>
          <w:b w:val="false"/>
          <w:bCs w:val="false"/>
          <w:i w:val="false"/>
          <w:iCs w:val="false"/>
          <w:color w:val="000000"/>
          <w:sz w:val="20"/>
          <w:szCs w:val="20"/>
        </w:rPr>
        <w:t xml:space="preserve">A 1 cm fragment at 7 km/s releases kinetic energy equivalent to a hand grenade. Space already holds 10,000 active satellites. By 2030: between 30,000 and 100,000 with mega-constellations. SpaceX is requesting permission for 1 million additional datacenter satellites.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Every datacenter satellite eventually adds new debris when decommissioned</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The GPU refresh cycle every 18–36 months multiplies launches and deorbit operations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No debris removal technology exists at scale today</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The May 2024 solar storm made orbital tracking impossible for several days</w:t>
      </w:r>
    </w:p>
    <w:p>
      <w:pPr>
        <w:pStyle w:val="Heading2"/>
        <w:spacing w:before="240" w:after="120"/>
      </w:pPr>
      <w:r>
        <w:rPr>
          <w:rFonts w:ascii="Arial" w:cs="Arial" w:eastAsia="Arial" w:hAnsi="Arial"/>
          <w:b/>
          <w:bCs/>
          <w:color w:val="2E75B6"/>
          <w:sz w:val="28"/>
          <w:szCs w:val="28"/>
        </w:rPr>
        <w:t xml:space="preserve">2.3 Solar Flares: The Systemic Risk Factor of Cycle 25</w:t>
      </w:r>
    </w:p>
    <w:p>
      <w:pPr>
        <w:spacing w:before="60" w:after="100"/>
        <w:jc w:val="both"/>
      </w:pPr>
      <w:r>
        <w:rPr>
          <w:rFonts w:ascii="Arial" w:cs="Arial" w:eastAsia="Arial" w:hAnsi="Arial"/>
          <w:b w:val="false"/>
          <w:bCs w:val="false"/>
          <w:i w:val="false"/>
          <w:iCs w:val="false"/>
          <w:color w:val="000000"/>
          <w:sz w:val="20"/>
          <w:szCs w:val="20"/>
        </w:rPr>
        <w:t xml:space="preserve">We are in the peak phase of Solar Cycle 25 since late 2024. During the May 2024 geomagnetic storm — the first major storm of the mega-constellation era — Starlink satellites experienced increased atmospheric drag of several hundred metres due to thermosphere expansion, forcing large-scale unplanned fuel consumption across the constellation.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1800"/>
        <w:gridCol w:w="17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Protection</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Earth Surface</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Underground</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LEO 550km</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Moon</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Magnetosphere</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Yes (partial)</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Yes (full)</w:t>
            </w:r>
          </w:p>
        </w:tc>
        <w:tc>
          <w:tcPr>
            <w:tcW w:type="dxa" w:w="18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 above it</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None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Atmosphere</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Yes</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Yes + rock</w:t>
            </w:r>
          </w:p>
        </w:tc>
        <w:tc>
          <w:tcPr>
            <w:tcW w:type="dxa" w:w="18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None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Radiation mSv/yr</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 mSv ref.</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&lt; 1 mSv</w:t>
            </w:r>
          </w:p>
        </w:tc>
        <w:tc>
          <w:tcPr>
            <w:tcW w:type="dxa" w:w="18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100–400 mSv</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100–400 mSv</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Solar storm</w:t>
            </w:r>
          </w:p>
        </w:tc>
        <w:tc>
          <w:tcPr>
            <w:tcW w:type="dxa" w:w="18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Grid surge</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Protected</w:t>
            </w:r>
          </w:p>
        </w:tc>
        <w:tc>
          <w:tcPr>
            <w:tcW w:type="dxa" w:w="18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Orbital drift</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Full exposure</w:t>
            </w:r>
          </w:p>
        </w:tc>
      </w:tr>
    </w:tbl>
    <w:p>
      <w:pPr>
        <w:spacing w:before="80" w:after="80"/>
      </w:pPr>
      <w:r>
        <w:t xml:space="preserve"/>
      </w:r>
    </w:p>
    <w:p>
      <w:pPr>
        <w:pStyle w:val="Heading2"/>
        <w:spacing w:before="240" w:after="120"/>
      </w:pPr>
      <w:r>
        <w:rPr>
          <w:rFonts w:ascii="Arial" w:cs="Arial" w:eastAsia="Arial" w:hAnsi="Arial"/>
          <w:b/>
          <w:bCs/>
          <w:color w:val="2E75B6"/>
          <w:sz w:val="28"/>
          <w:szCs w:val="28"/>
        </w:rPr>
        <w:t xml:space="preserve">2.4 Space Memory: Two Incompatible Markets</w:t>
      </w:r>
    </w:p>
    <w:p>
      <w:pPr>
        <w:spacing w:before="60" w:after="100"/>
        <w:jc w:val="both"/>
      </w:pPr>
      <w:r>
        <w:rPr>
          <w:rFonts w:ascii="Arial" w:cs="Arial" w:eastAsia="Arial" w:hAnsi="Arial"/>
          <w:b w:val="false"/>
          <w:bCs w:val="false"/>
          <w:i w:val="false"/>
          <w:iCs w:val="false"/>
          <w:color w:val="000000"/>
          <w:sz w:val="20"/>
          <w:szCs w:val="20"/>
        </w:rPr>
        <w:t xml:space="preserve">Rad-hard space memory and commercial DRAM share neither manufacturing processes, nor foundries, nor economies of scale. Hardening techniques — RHBD, Silicon On Insulator, cell-level redundancy — are physically incompatible with the EUV processes used in advanced nodes.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Criterion</w:t>
            </w:r>
          </w:p>
        </w:tc>
        <w:tc>
          <w:tcPr>
            <w:tcW w:type="dxa" w:w="3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Commercial DRAM (HBM4)</w:t>
            </w:r>
          </w:p>
        </w:tc>
        <w:tc>
          <w:tcPr>
            <w:tcW w:type="dxa" w:w="3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Rad-hard Space Memory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Process node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&lt; 10 nm</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65 to 180 nm</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Unit price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$300 to $500</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$10,000 to $100,000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Annual volume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Billions of units</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A few thousand units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Lead time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8 to 39 weeks</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12 to 24 months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Performance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2026 state of the art</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Equivalent to 2016–2020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Qualification</w:t>
            </w:r>
          </w:p>
        </w:tc>
        <w:tc>
          <w:tcPr>
            <w:tcW w:type="dxa" w:w="32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None required</w:t>
            </w:r>
          </w:p>
        </w:tc>
        <w:tc>
          <w:tcPr>
            <w:tcW w:type="dxa" w:w="32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MIL-STD-883, ESA/SCC, NASA</w:t>
            </w:r>
          </w:p>
        </w:tc>
      </w:tr>
    </w:tbl>
    <w:p>
      <w:pPr>
        <w:spacing w:before="80" w:after="80"/>
      </w:pPr>
      <w:r>
        <w:t xml:space="preserve"/>
      </w:r>
    </w:p>
    <w:p>
      <w:pPr>
        <w:pBdr>
          <w:left w:val="thick" w:color="2E75B6" w:sz="12"/>
        </w:pBdr>
        <w:spacing w:before="120" w:after="120"/>
        <w:ind w:left="360"/>
        <w:jc w:val="both"/>
      </w:pPr>
      <w:r>
        <w:rPr>
          <w:rFonts w:ascii="Arial" w:cs="Arial" w:eastAsia="Arial" w:hAnsi="Arial"/>
          <w:i/>
          <w:iCs/>
          <w:color w:val="595959"/>
          <w:sz w:val="19"/>
          <w:szCs w:val="19"/>
        </w:rPr>
        <w:t xml:space="preserve">In 2025–2026, DRAM prices rose 171% due to capacity reallocation toward HBM for terrestrial AI. No global foundry can absorb a rad-hard memory order at datacenter scale. That market does not yet exist.</w:t>
      </w:r>
    </w:p>
    <w:p>
      <w:pPr>
        <w:pStyle w:val="Heading2"/>
        <w:spacing w:before="240" w:after="120"/>
      </w:pPr>
      <w:r>
        <w:rPr>
          <w:rFonts w:ascii="Arial" w:cs="Arial" w:eastAsia="Arial" w:hAnsi="Arial"/>
          <w:b/>
          <w:bCs/>
          <w:color w:val="2E75B6"/>
          <w:sz w:val="28"/>
          <w:szCs w:val="28"/>
        </w:rPr>
        <w:t xml:space="preserve">2.5 NEW v2.0 — The GPU/MRAM Renewal Paradox: An Insoluble Lifecycle Conflict</w:t>
      </w:r>
    </w:p>
    <w:p>
      <w:pPr>
        <w:spacing w:before="60" w:after="100"/>
        <w:jc w:val="both"/>
      </w:pPr>
      <w:r>
        <w:rPr>
          <w:rFonts w:ascii="Arial" w:cs="Arial" w:eastAsia="Arial" w:hAnsi="Arial"/>
          <w:b w:val="false"/>
          <w:bCs w:val="false"/>
          <w:i w:val="false"/>
          <w:iCs w:val="false"/>
          <w:color w:val="000000"/>
          <w:sz w:val="20"/>
          <w:szCs w:val="20"/>
        </w:rPr>
        <w:t xml:space="preserve">This section addresses a structural contradiction that has received little public attention despite being, in the author's view, one of the most decisive economic arguments against the orbital datacenter model at mass-market scale.</w:t>
      </w:r>
    </w:p>
    <w:p>
      <w:pPr>
        <w:pStyle w:val="Heading3"/>
        <w:spacing w:before="180" w:after="80"/>
      </w:pPr>
      <w:r>
        <w:rPr>
          <w:rFonts w:ascii="Arial" w:cs="Arial" w:eastAsia="Arial" w:hAnsi="Arial"/>
          <w:b/>
          <w:bCs/>
          <w:color w:val="595959"/>
          <w:sz w:val="24"/>
          <w:szCs w:val="24"/>
        </w:rPr>
        <w:t xml:space="preserve">2.5.1 The Dual Lifecycle Problem</w:t>
      </w:r>
    </w:p>
    <w:p>
      <w:pPr>
        <w:spacing w:before="60" w:after="100"/>
        <w:jc w:val="both"/>
      </w:pPr>
      <w:r>
        <w:rPr>
          <w:rFonts w:ascii="Arial" w:cs="Arial" w:eastAsia="Arial" w:hAnsi="Arial"/>
          <w:b w:val="false"/>
          <w:bCs w:val="false"/>
          <w:i w:val="false"/>
          <w:iCs w:val="false"/>
          <w:color w:val="000000"/>
          <w:sz w:val="20"/>
          <w:szCs w:val="20"/>
        </w:rPr>
        <w:t xml:space="preserve">Orbital hardware faces what analysts call the obsolescence trap. Two incompatible cycles coexist:</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Lifecycle Type</w:t>
            </w:r>
          </w:p>
        </w:tc>
        <w:tc>
          <w:tcPr>
            <w:tcW w:type="dxa" w:w="3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Duration</w:t>
            </w:r>
          </w:p>
        </w:tc>
        <w:tc>
          <w:tcPr>
            <w:tcW w:type="dxa" w:w="3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Implication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Physical satellite lifespan (radiation degradation)</w:t>
            </w:r>
          </w:p>
        </w:tc>
        <w:tc>
          <w:tcPr>
            <w:tcW w:type="dxa" w:w="328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5–6 years</w:t>
            </w:r>
          </w:p>
        </w:tc>
        <w:tc>
          <w:tcPr>
            <w:tcW w:type="dxa" w:w="32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Minimum replacement cadence before physical failure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Economic GPU competitiveness cycle (Moore's Law)</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2–3 years</w:t>
            </w:r>
          </w:p>
        </w:tc>
        <w:tc>
          <w:tcPr>
            <w:tcW w:type="dxa" w:w="32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Performance per watt halves every 2 years vs terrestrial</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MRAM space-grade production lead time</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12–24 months</w:t>
            </w:r>
          </w:p>
        </w:tc>
        <w:tc>
          <w:tcPr>
            <w:tcW w:type="dxa" w:w="32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Constrains constellation build rate regardless of rockets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Terrestrial datacenter hardware refresh</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3–4 years</w:t>
            </w:r>
          </w:p>
        </w:tc>
        <w:tc>
          <w:tcPr>
            <w:tcW w:type="dxa" w:w="32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Technician on site, modular swap, no launch required</w:t>
            </w:r>
          </w:p>
        </w:tc>
      </w:tr>
    </w:tbl>
    <w:p>
      <w:pPr>
        <w:spacing w:before="80" w:after="80"/>
      </w:pPr>
      <w:r>
        <w:t xml:space="preserve"/>
      </w:r>
    </w:p>
    <w:p>
      <w:pPr>
        <w:spacing w:before="60" w:after="100"/>
        <w:jc w:val="both"/>
      </w:pPr>
      <w:r>
        <w:rPr>
          <w:rFonts w:ascii="Arial" w:cs="Arial" w:eastAsia="Arial" w:hAnsi="Arial"/>
          <w:b w:val="false"/>
          <w:bCs w:val="false"/>
          <w:i w:val="false"/>
          <w:iCs w:val="false"/>
          <w:color w:val="000000"/>
          <w:sz w:val="20"/>
          <w:szCs w:val="20"/>
        </w:rPr>
        <w:t xml:space="preserve">An H100-class GPU launched in 2026 would be three to four technology generations behind by 2032, delivering a fraction of the performance per watt of new terrestrial hardware. To remain competitive with terrestrial datacenters, orbital compute requires refreshing every 2 to 3 years — not 5 to 6.</w:t>
      </w:r>
    </w:p>
    <w:p>
      <w:pPr>
        <w:pBdr>
          <w:left w:val="thick" w:color="2E75B6" w:sz="12"/>
        </w:pBdr>
        <w:spacing w:before="120" w:after="120"/>
        <w:ind w:left="360"/>
        <w:jc w:val="both"/>
      </w:pPr>
      <w:r>
        <w:rPr>
          <w:rFonts w:ascii="Arial" w:cs="Arial" w:eastAsia="Arial" w:hAnsi="Arial"/>
          <w:i/>
          <w:iCs/>
          <w:color w:val="595959"/>
          <w:sz w:val="19"/>
          <w:szCs w:val="19"/>
        </w:rPr>
        <w:t xml:space="preserve">The economic refresh cycle is 2–3 years. The physical satellite lifespan is 5–6 years. The gap between them is not a scheduling problem. It is a permanent capital destruction machine: assets are decommissioned before they physically fail, or kept alive after they have become economically worthless.</w:t>
      </w:r>
    </w:p>
    <w:p>
      <w:pPr>
        <w:pStyle w:val="Heading3"/>
        <w:spacing w:before="180" w:after="80"/>
      </w:pPr>
      <w:r>
        <w:rPr>
          <w:rFonts w:ascii="Arial" w:cs="Arial" w:eastAsia="Arial" w:hAnsi="Arial"/>
          <w:b/>
          <w:bCs/>
          <w:color w:val="595959"/>
          <w:sz w:val="24"/>
          <w:szCs w:val="24"/>
        </w:rPr>
        <w:t xml:space="preserve">2.5.2 The "Fly Till You Die" Model and Its Hidden Costs</w:t>
      </w:r>
    </w:p>
    <w:p>
      <w:pPr>
        <w:spacing w:before="60" w:after="100"/>
        <w:jc w:val="both"/>
      </w:pPr>
      <w:r>
        <w:rPr>
          <w:rFonts w:ascii="Arial" w:cs="Arial" w:eastAsia="Arial" w:hAnsi="Arial"/>
          <w:b w:val="false"/>
          <w:bCs w:val="false"/>
          <w:i w:val="false"/>
          <w:iCs w:val="false"/>
          <w:color w:val="000000"/>
          <w:sz w:val="20"/>
          <w:szCs w:val="20"/>
        </w:rPr>
        <w:t xml:space="preserve">SpaceX's implicit answer to the servicing impossibility is straightforward: do not repair satellites, replace them entirely. Launch new satellites with current-generation hardware and deorbit the obsolete ones. This transforms the obsolescence problem from an engineering challenge into a cost problem — and an environmental one.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Each replacement cycle requires a new Starship launch: estimated 25,000 Starship flights for a single 100 GW buildout</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GPU failure rate in LEO estimated at 9% annually (extrapolated from Meta Llama 3 hardware failure data, Earth conditions — actual LEO rate likely higher)</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A 9% annual failure rate on 1 million satellites represents 90,000 units/year requiring replacement — before scheduled refresh</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Google's radiation testing of TPUs showed memory subsystem irregularities after simulation of fewer than 3 years of LEO exposure on 4nm processes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Each deorbit adds to stratospheric soot load: aluminium oxide, lithium compounds, magnesium — effects on polar cloud formation and ozone chemistry are unquantified at this scale</w:t>
      </w:r>
    </w:p>
    <w:p>
      <w:pPr>
        <w:pStyle w:val="Heading3"/>
        <w:spacing w:before="180" w:after="80"/>
      </w:pPr>
      <w:r>
        <w:rPr>
          <w:rFonts w:ascii="Arial" w:cs="Arial" w:eastAsia="Arial" w:hAnsi="Arial"/>
          <w:b/>
          <w:bCs/>
          <w:color w:val="595959"/>
          <w:sz w:val="24"/>
          <w:szCs w:val="24"/>
        </w:rPr>
        <w:t xml:space="preserve">2.5.3 The MRAM Supply Chain: A Market That Does Not Yet Exist</w:t>
      </w:r>
    </w:p>
    <w:p>
      <w:pPr>
        <w:spacing w:before="60" w:after="100"/>
        <w:jc w:val="both"/>
      </w:pPr>
      <w:r>
        <w:rPr>
          <w:rFonts w:ascii="Arial" w:cs="Arial" w:eastAsia="Arial" w:hAnsi="Arial"/>
          <w:b w:val="false"/>
          <w:bCs w:val="false"/>
          <w:i w:val="false"/>
          <w:iCs w:val="false"/>
          <w:color w:val="000000"/>
          <w:sz w:val="20"/>
          <w:szCs w:val="20"/>
        </w:rPr>
        <w:t xml:space="preserve">MRAM (Magnetoresistive Random-Access Memory) is the only memory architecture that simultaneously offers radiation immunity, unlimited write endurance, and data retention in the LEO environment. Standard flash memory degrades rapidly under cosmic ray bombardment. DRAM requires constant power to retain data — catastrophic under the power disruptions of a solar event.</w:t>
      </w:r>
    </w:p>
    <w:p>
      <w:pPr>
        <w:spacing w:before="60" w:after="100"/>
        <w:jc w:val="both"/>
      </w:pPr>
      <w:r>
        <w:rPr>
          <w:rFonts w:ascii="Arial" w:cs="Arial" w:eastAsia="Arial" w:hAnsi="Arial"/>
          <w:b w:val="false"/>
          <w:bCs w:val="false"/>
          <w:i w:val="false"/>
          <w:iCs w:val="false"/>
          <w:color w:val="000000"/>
          <w:sz w:val="20"/>
          <w:szCs w:val="20"/>
        </w:rPr>
        <w:t xml:space="preserve">Space-grade MRAM uses Spin-Transfer Torque technology with Tunnel Magnetoresistance integrated at the die level — achieving SEU thresholds 84 times higher than flash. The leading space-grade MRAM manufacturer currently ships tens of thousands of units per year into orbit. A constellation of 1 million satellites, each requiring multiple MRAM components, demands a scale increase of three to four orders of magnitude.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rPr>
          <w:tblHeader/>
        </w:trPr>
        <w:tc>
          <w:tcPr>
            <w:tcW w:type="dxa" w:w="3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Criterion</w:t>
            </w:r>
          </w:p>
        </w:tc>
        <w:tc>
          <w:tcPr>
            <w:tcW w:type="dxa" w:w="30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Current State (2026)</w:t>
            </w:r>
          </w:p>
        </w:tc>
        <w:tc>
          <w:tcPr>
            <w:tcW w:type="dxa" w:w="30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Required for 1M Satellites</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Space-grade MRAM units/year</w:t>
            </w:r>
          </w:p>
        </w:tc>
        <w:tc>
          <w:tcPr>
            <w:tcW w:type="dxa" w:w="30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Tens of thousands</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Hundreds of millions</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Qualified foundries worldwide</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2–3 (boutique fabs)</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20–30 minimum</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MRAM price/unit (space-grade)</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$10,000–$100,000</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Requires 1000× reduction</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Qualification timeline per part</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3–5 years (MIL/ESA/NASA)</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Cannot be parallelised</w:t>
            </w:r>
          </w:p>
        </w:tc>
      </w:tr>
      <w:tr>
        <w:tc>
          <w:tcPr>
            <w:tcW w:type="dxa" w:w="32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Process node</w:t>
            </w:r>
          </w:p>
        </w:tc>
        <w:tc>
          <w:tcPr>
            <w:tcW w:type="dxa" w:w="308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65–180nm</w:t>
            </w:r>
          </w:p>
        </w:tc>
        <w:tc>
          <w:tcPr>
            <w:tcW w:type="dxa" w:w="30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Incompatible with 2nm D3</w:t>
            </w:r>
          </w:p>
        </w:tc>
      </w:tr>
    </w:tbl>
    <w:p>
      <w:pPr>
        <w:spacing w:before="80" w:after="80"/>
      </w:pPr>
      <w:r>
        <w:t xml:space="preserve"/>
      </w:r>
    </w:p>
    <w:p>
      <w:pPr>
        <w:pBdr>
          <w:left w:val="thick" w:color="2E75B6" w:sz="12"/>
        </w:pBdr>
        <w:spacing w:before="120" w:after="120"/>
        <w:ind w:left="360"/>
        <w:jc w:val="both"/>
      </w:pPr>
      <w:r>
        <w:rPr>
          <w:rFonts w:ascii="Arial" w:cs="Arial" w:eastAsia="Arial" w:hAnsi="Arial"/>
          <w:i/>
          <w:iCs/>
          <w:color w:val="595959"/>
          <w:sz w:val="19"/>
          <w:szCs w:val="19"/>
        </w:rPr>
        <w:t xml:space="preserve">TERAfab targets 2nm for D3 space chips. Space-grade MRAM requires 65–180nm for radiation hardening. No single foundry can operate both processes on the same production line. TERAfab does not solve the MRAM supply chain problem. It does not even address it.</w:t>
      </w:r>
    </w:p>
    <w:p>
      <w:pPr>
        <w:pStyle w:val="Heading3"/>
        <w:spacing w:before="180" w:after="80"/>
      </w:pPr>
      <w:r>
        <w:rPr>
          <w:rFonts w:ascii="Arial" w:cs="Arial" w:eastAsia="Arial" w:hAnsi="Arial"/>
          <w:b/>
          <w:bCs/>
          <w:color w:val="595959"/>
          <w:sz w:val="24"/>
          <w:szCs w:val="24"/>
        </w:rPr>
        <w:t xml:space="preserve">2.5.4 Finite Raw Materials: The Overlooked Dimension</w:t>
      </w:r>
    </w:p>
    <w:p>
      <w:pPr>
        <w:spacing w:before="60" w:after="100"/>
        <w:jc w:val="both"/>
      </w:pPr>
      <w:r>
        <w:rPr>
          <w:rFonts w:ascii="Arial" w:cs="Arial" w:eastAsia="Arial" w:hAnsi="Arial"/>
          <w:b w:val="false"/>
          <w:bCs w:val="false"/>
          <w:i w:val="false"/>
          <w:iCs w:val="false"/>
          <w:color w:val="000000"/>
          <w:sz w:val="20"/>
          <w:szCs w:val="20"/>
        </w:rPr>
        <w:t xml:space="preserve">Continuous satellite replacement at the scale proposed by SpaceX introduces a raw materials consumption question that no public filing has yet addressed. Key materials under constraint include: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Indium (In): used in solar cell production (InGaP/GaAs triple-junction cells for space), indium supply is geographically concentrated and subject to export control</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Tantalum (Ta): critical for capacitors in radiation-hardened electronics, primary supply from conflict-risk regions (DRC, Rwanda)</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Germanium (Ge): used in high-efficiency space solar cells, subject to Chinese export restrictions since 2023</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Cobalt (Co): used in MRAM magnetic tunnel junctions, primary supply heavily concentrated in the DRC</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Rare earth elements: neodymium, dysprosium for satellite attitude control systems — subject to Chinese supply chain dominance</w:t>
      </w:r>
    </w:p>
    <w:p>
      <w:pPr>
        <w:spacing w:before="60" w:after="100"/>
        <w:jc w:val="both"/>
      </w:pPr>
      <w:r>
        <w:rPr>
          <w:rFonts w:ascii="Arial" w:cs="Arial" w:eastAsia="Arial" w:hAnsi="Arial"/>
          <w:b w:val="false"/>
          <w:bCs w:val="false"/>
          <w:i w:val="false"/>
          <w:iCs w:val="false"/>
          <w:color w:val="000000"/>
          <w:sz w:val="20"/>
          <w:szCs w:val="20"/>
        </w:rPr>
        <w:t xml:space="preserve">At 1 million satellites with a 2–3 year economic refresh cycle, the implied annual consumption of these materials would constitute a significant fraction of current global production — before accounting for the parallel demands of terrestrial AI infrastructure, electric vehicles, and defence systems competing for the same supply chains.</w:t>
      </w:r>
    </w:p>
    <w:p>
      <w:pPr>
        <w:pBdr>
          <w:left w:val="thick" w:color="2E75B6" w:sz="12"/>
        </w:pBdr>
        <w:spacing w:before="120" w:after="120"/>
        <w:ind w:left="360"/>
        <w:jc w:val="both"/>
      </w:pPr>
      <w:r>
        <w:rPr>
          <w:rFonts w:ascii="Arial" w:cs="Arial" w:eastAsia="Arial" w:hAnsi="Arial"/>
          <w:i/>
          <w:iCs/>
          <w:color w:val="595959"/>
          <w:sz w:val="19"/>
          <w:szCs w:val="19"/>
        </w:rPr>
        <w:t xml:space="preserve">The orbital datacenter model implicitly assumes infinite access to finite critical materials, a continuous supply of space-grade MRAM at 1000× current production scale, and the ability to launch and deorbit hundreds of thousands of satellites per year indefinitely. None of these assumptions has been stress-tested against real supply chain constraints.</w:t>
      </w:r>
    </w:p>
    <w:p>
      <w:r>
        <w:br w:type="page"/>
      </w:r>
    </w:p>
    <w:p>
      <w:pPr>
        <w:pStyle w:val="Heading1"/>
        <w:spacing w:before="320" w:after="160"/>
      </w:pPr>
      <w:r>
        <w:rPr>
          <w:rFonts w:ascii="Arial" w:cs="Arial" w:eastAsia="Arial" w:hAnsi="Arial"/>
          <w:b/>
          <w:bCs/>
          <w:color w:val="1F3864"/>
          <w:sz w:val="36"/>
          <w:szCs w:val="36"/>
        </w:rPr>
        <w:t xml:space="preserve">3. The SLA — Ultimate Proof of Commercial Impossibility</w:t>
      </w:r>
    </w:p>
    <w:p>
      <w:pPr>
        <w:pStyle w:val="Heading2"/>
        <w:spacing w:before="240" w:after="120"/>
      </w:pPr>
      <w:r>
        <w:rPr>
          <w:rFonts w:ascii="Arial" w:cs="Arial" w:eastAsia="Arial" w:hAnsi="Arial"/>
          <w:b/>
          <w:bCs/>
          <w:color w:val="2E75B6"/>
          <w:sz w:val="28"/>
          <w:szCs w:val="28"/>
        </w:rPr>
        <w:t xml:space="preserve">3.1 Current Terrestrial Standards</w:t>
      </w:r>
    </w:p>
    <w:p>
      <w:pPr>
        <w:spacing w:before="60" w:after="100"/>
        <w:jc w:val="both"/>
      </w:pPr>
      <w:r>
        <w:rPr>
          <w:rFonts w:ascii="Arial" w:cs="Arial" w:eastAsia="Arial" w:hAnsi="Arial"/>
          <w:b w:val="false"/>
          <w:bCs w:val="false"/>
          <w:i w:val="false"/>
          <w:iCs w:val="false"/>
          <w:color w:val="000000"/>
          <w:sz w:val="20"/>
          <w:szCs w:val="20"/>
        </w:rPr>
        <w:t xml:space="preserve">A standard terrestrial datacenter contractually guarantees 99.99% availability (maximum 52 minutes of downtime per year). The five nines standard reaches 99.999% (5 minutes/year). Penalty clauses for non-compliance are contractually binding: 25 to 200% of monthly base rent for availability below threshold, up to 500% for critical connectivity outages.</w:t>
      </w:r>
    </w:p>
    <w:p>
      <w:pPr>
        <w:pStyle w:val="Heading2"/>
        <w:spacing w:before="240" w:after="120"/>
      </w:pPr>
      <w:r>
        <w:rPr>
          <w:rFonts w:ascii="Arial" w:cs="Arial" w:eastAsia="Arial" w:hAnsi="Arial"/>
          <w:b/>
          <w:bCs/>
          <w:color w:val="2E75B6"/>
          <w:sz w:val="28"/>
          <w:szCs w:val="28"/>
        </w:rPr>
        <w:t xml:space="preserve">3.2 The Spatial Impossibility</w:t>
      </w:r>
    </w:p>
    <w:p>
      <w:pPr>
        <w:spacing w:before="60" w:after="100"/>
        <w:jc w:val="both"/>
      </w:pPr>
      <w:r>
        <w:rPr>
          <w:rFonts w:ascii="Arial" w:cs="Arial" w:eastAsia="Arial" w:hAnsi="Arial"/>
          <w:b w:val="false"/>
          <w:bCs w:val="false"/>
          <w:i w:val="false"/>
          <w:iCs w:val="false"/>
          <w:color w:val="000000"/>
          <w:sz w:val="20"/>
          <w:szCs w:val="20"/>
        </w:rPr>
        <w:t xml:space="preserve">The question is simple: which operator can sign a 99.99% SLA on an orbital or lunar asset?</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300"/>
        <w:gridCol w:w="2300"/>
        <w:gridCol w:w="2260"/>
      </w:tblGrid>
      <w:tr>
        <w:trPr>
          <w:tblHeader/>
        </w:trPr>
        <w:tc>
          <w:tcPr>
            <w:tcW w:type="dxa" w:w="2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Failure Scenario</w:t>
            </w:r>
          </w:p>
        </w:tc>
        <w:tc>
          <w:tcPr>
            <w:tcW w:type="dxa" w:w="2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Terrestrial Datacenter</w:t>
            </w:r>
          </w:p>
        </w:tc>
        <w:tc>
          <w:tcPr>
            <w:tcW w:type="dxa" w:w="2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Orbital Datacenter</w:t>
            </w:r>
          </w:p>
        </w:tc>
        <w:tc>
          <w:tcPr>
            <w:tcW w:type="dxa" w:w="2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Lunar Datacenter</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Memory failure</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Rack replacement: 2–4h</w:t>
            </w:r>
          </w:p>
        </w:tc>
        <w:tc>
          <w:tcPr>
            <w:tcW w:type="dxa" w:w="23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Irreparable</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6–18 months minimum</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Power failure</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N+1 switchover: ms</w:t>
            </w:r>
          </w:p>
        </w:tc>
        <w:tc>
          <w:tcPr>
            <w:tcW w:type="dxa" w:w="23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Potential total loss</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operational plant</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Critical heating</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Technician: 30 min</w:t>
            </w:r>
          </w:p>
        </w:tc>
        <w:tc>
          <w:tcPr>
            <w:tcW w:type="dxa" w:w="23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Impossible</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Spacesuit: days</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Debris/meteorite</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N/A</w:t>
            </w:r>
          </w:p>
        </w:tc>
        <w:tc>
          <w:tcPr>
            <w:tcW w:type="dxa" w:w="23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Total loss, no recourse</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Total loss, no recourse</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Major solar flare</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Faraday cage + UPS</w:t>
            </w:r>
          </w:p>
        </w:tc>
        <w:tc>
          <w:tcPr>
            <w:tcW w:type="dxa" w:w="23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Orbital drift + damage</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Full direct exposure</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Firmware update</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Remote deployment: min</w:t>
            </w:r>
          </w:p>
        </w:tc>
        <w:tc>
          <w:tcPr>
            <w:tcW w:type="dxa" w:w="23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Possible but risky</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Comm delay: weeks</w:t>
            </w:r>
          </w:p>
        </w:tc>
      </w:tr>
      <w:tr>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GPU replacement</w:t>
            </w:r>
          </w:p>
        </w:tc>
        <w:tc>
          <w:tcPr>
            <w:tcW w:type="dxa" w:w="23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Modular swap: 1–2h</w:t>
            </w:r>
          </w:p>
        </w:tc>
        <w:tc>
          <w:tcPr>
            <w:tcW w:type="dxa" w:w="23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Full satellite replace</w:t>
            </w:r>
          </w:p>
        </w:tc>
        <w:tc>
          <w:tcPr>
            <w:tcW w:type="dxa" w:w="22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Mission: 6–18 months</w:t>
            </w:r>
          </w:p>
        </w:tc>
      </w:tr>
    </w:tbl>
    <w:p>
      <w:pPr>
        <w:spacing w:before="80" w:after="80"/>
      </w:pPr>
      <w:r>
        <w:t xml:space="preserve"/>
      </w:r>
    </w:p>
    <w:p>
      <w:pPr>
        <w:pStyle w:val="Heading2"/>
        <w:spacing w:before="240" w:after="120"/>
      </w:pPr>
      <w:r>
        <w:rPr>
          <w:rFonts w:ascii="Arial" w:cs="Arial" w:eastAsia="Arial" w:hAnsi="Arial"/>
          <w:b/>
          <w:bCs/>
          <w:color w:val="2E75B6"/>
          <w:sz w:val="28"/>
          <w:szCs w:val="28"/>
        </w:rPr>
        <w:t xml:space="preserve">3.3 The Legal Vacuum</w:t>
      </w:r>
    </w:p>
    <w:p>
      <w:pPr>
        <w:spacing w:before="60" w:after="100"/>
        <w:jc w:val="both"/>
      </w:pPr>
      <w:r>
        <w:rPr>
          <w:rFonts w:ascii="Arial" w:cs="Arial" w:eastAsia="Arial" w:hAnsi="Arial"/>
          <w:b w:val="false"/>
          <w:bCs w:val="false"/>
          <w:i w:val="false"/>
          <w:iCs w:val="false"/>
          <w:color w:val="000000"/>
          <w:sz w:val="20"/>
          <w:szCs w:val="20"/>
        </w:rPr>
        <w:t xml:space="preserve">Beyond the technical dimension, there is a complete legal vacuum that no space datacenter pitch deck mentions.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No international jurisdiction defines commercial liability for loss of an orbital asset</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The 1967 Outer Space Treaty assigns liability to the launching state — not the commercial operator</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A total loss from a Kessler collision or major solar flare falls under no existing commercial insurance framework</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No insurer currently offers coverage for orbital SLA non-performance penalties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The GPU refresh cycle (section 2.5) creates systematic planned obsolescence events with no legal framework for customer notification obligations</w:t>
      </w:r>
    </w:p>
    <w:p>
      <w:r>
        <w:br w:type="page"/>
      </w:r>
    </w:p>
    <w:p>
      <w:pPr>
        <w:pStyle w:val="Heading1"/>
        <w:spacing w:before="320" w:after="160"/>
      </w:pPr>
      <w:r>
        <w:rPr>
          <w:rFonts w:ascii="Arial" w:cs="Arial" w:eastAsia="Arial" w:hAnsi="Arial"/>
          <w:b/>
          <w:bCs/>
          <w:color w:val="1F3864"/>
          <w:sz w:val="36"/>
          <w:szCs w:val="36"/>
        </w:rPr>
        <w:t xml:space="preserve">4. The Underground Alternative: What We Already Have</w:t>
      </w:r>
    </w:p>
    <w:p>
      <w:pPr>
        <w:pStyle w:val="Heading2"/>
        <w:spacing w:before="240" w:after="120"/>
      </w:pPr>
      <w:r>
        <w:rPr>
          <w:rFonts w:ascii="Arial" w:cs="Arial" w:eastAsia="Arial" w:hAnsi="Arial"/>
          <w:b/>
          <w:bCs/>
          <w:color w:val="2E75B6"/>
          <w:sz w:val="28"/>
          <w:szCs w:val="28"/>
        </w:rPr>
        <w:t xml:space="preserve">4.1 Enhanced Geothermal Systems (EGS) — The Proven Alternative</w:t>
      </w:r>
    </w:p>
    <w:p>
      <w:pPr>
        <w:spacing w:before="60" w:after="100"/>
        <w:jc w:val="both"/>
      </w:pPr>
      <w:r>
        <w:rPr>
          <w:rFonts w:ascii="Arial" w:cs="Arial" w:eastAsia="Arial" w:hAnsi="Arial"/>
          <w:b w:val="false"/>
          <w:bCs w:val="false"/>
          <w:i w:val="false"/>
          <w:iCs w:val="false"/>
          <w:color w:val="000000"/>
          <w:sz w:val="20"/>
          <w:szCs w:val="20"/>
        </w:rPr>
        <w:t xml:space="preserve">Enhanced Geothermal Systems tap into heat stored in deep granite formations by injecting water through engineered fracture networks, circulating it through hot rock at 150–300°C, and recovering it as steam for electricity generation or direct heat use.</w:t>
      </w:r>
    </w:p>
    <w:p>
      <w:pPr>
        <w:spacing w:before="60" w:after="100"/>
        <w:jc w:val="both"/>
      </w:pPr>
      <w:r>
        <w:rPr>
          <w:rFonts w:ascii="Arial" w:cs="Arial" w:eastAsia="Arial" w:hAnsi="Arial"/>
          <w:b w:val="false"/>
          <w:bCs w:val="false"/>
          <w:i w:val="false"/>
          <w:iCs w:val="false"/>
          <w:color w:val="000000"/>
          <w:sz w:val="20"/>
          <w:szCs w:val="20"/>
        </w:rPr>
        <w:t xml:space="preserve">The DOE GeoVision study (2019, updated 2024) demonstrates that EGS could provide 120+ GW of baseload capacity in the continental United States alone, with capacity factors exceeding 90% — significantly better than solar or wind.</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Criterion</w:t>
            </w:r>
          </w:p>
        </w:tc>
        <w:tc>
          <w:tcPr>
            <w:tcW w:type="dxa" w:w="3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Underground EGS DC</w:t>
            </w:r>
          </w:p>
        </w:tc>
        <w:tc>
          <w:tcPr>
            <w:tcW w:type="dxa" w:w="3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Orbital Constellation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Initial investment (50MW)</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$0.8–$1 billion</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$20–25B (fab alone)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Energy cost</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$50/MWh geothermal</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Capital cost dominated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Profitability horizon</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10–12 years (proven)</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Undefined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SLA achievable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99.999% — insurable</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Not insurable today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Hardware refresh</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Modular, on-site: hours</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Full satellite replacement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Radiation protection</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Full magnetosphere + rock</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None above 550km</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Maintenance</w:t>
            </w:r>
          </w:p>
        </w:tc>
        <w:tc>
          <w:tcPr>
            <w:tcW w:type="dxa" w:w="328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Technician: 30 minutes</w:t>
            </w:r>
          </w:p>
        </w:tc>
        <w:tc>
          <w:tcPr>
            <w:tcW w:type="dxa" w:w="32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Irreparable in LEO</w:t>
            </w:r>
          </w:p>
        </w:tc>
      </w:tr>
    </w:tbl>
    <w:p>
      <w:pPr>
        <w:spacing w:before="80" w:after="80"/>
      </w:pPr>
      <w:r>
        <w:t xml:space="preserve"/>
      </w:r>
    </w:p>
    <w:p>
      <w:pPr>
        <w:pStyle w:val="Heading2"/>
        <w:spacing w:before="240" w:after="120"/>
      </w:pPr>
      <w:r>
        <w:rPr>
          <w:rFonts w:ascii="Arial" w:cs="Arial" w:eastAsia="Arial" w:hAnsi="Arial"/>
          <w:b/>
          <w:bCs/>
          <w:color w:val="2E75B6"/>
          <w:sz w:val="28"/>
          <w:szCs w:val="28"/>
        </w:rPr>
        <w:t xml:space="preserve">4.2 Known Risks and How They Are Managed</w:t>
      </w:r>
    </w:p>
    <w:p>
      <w:pPr>
        <w:spacing w:before="60" w:after="100"/>
        <w:jc w:val="both"/>
      </w:pPr>
      <w:r>
        <w:rPr>
          <w:rFonts w:ascii="Arial" w:cs="Arial" w:eastAsia="Arial" w:hAnsi="Arial"/>
          <w:b w:val="false"/>
          <w:bCs w:val="false"/>
          <w:i w:val="false"/>
          <w:iCs w:val="false"/>
          <w:color w:val="000000"/>
          <w:sz w:val="20"/>
          <w:szCs w:val="20"/>
        </w:rPr>
        <w:t xml:space="preserve">Underground datacenters are not without constraints. Intellectual honesty demands they be stated:</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Induced seismicity from EGS water injection — requires seismic study over 5km radius, minimum 30-year historical record, real-time monitoring with traffic-light protocol</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Corrosion from subsurface gases (H2S, CO2) — adapted materials and ventilation</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Radon in certain granite substrates — mandatory detection and ventilation systems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Long-term stability under cyclic thermal loading — geotechnical study required</w:t>
      </w:r>
    </w:p>
    <w:p>
      <w:pPr>
        <w:pBdr>
          <w:left w:val="thick" w:color="2E75B6" w:sz="12"/>
        </w:pBdr>
        <w:spacing w:before="120" w:after="120"/>
        <w:ind w:left="360"/>
        <w:jc w:val="both"/>
      </w:pPr>
      <w:r>
        <w:rPr>
          <w:rFonts w:ascii="Arial" w:cs="Arial" w:eastAsia="Arial" w:hAnsi="Arial"/>
          <w:i/>
          <w:iCs/>
          <w:color w:val="595959"/>
          <w:sz w:val="19"/>
          <w:szCs w:val="19"/>
        </w:rPr>
        <w:t xml:space="preserve">These constraints are known, standardised, and manageable. They are not comparable to the permanent and irreparable exposure of space assets.</w:t>
      </w:r>
    </w:p>
    <w:p>
      <w:r>
        <w:br w:type="page"/>
      </w:r>
    </w:p>
    <w:p>
      <w:pPr>
        <w:pStyle w:val="Heading1"/>
        <w:spacing w:before="320" w:after="160"/>
      </w:pPr>
      <w:r>
        <w:rPr>
          <w:rFonts w:ascii="Arial" w:cs="Arial" w:eastAsia="Arial" w:hAnsi="Arial"/>
          <w:b/>
          <w:bCs/>
          <w:color w:val="1F3864"/>
          <w:sz w:val="36"/>
          <w:szCs w:val="36"/>
        </w:rPr>
        <w:t xml:space="preserve">5. The Moon — Real Scientific Potential, Mass Market Illusion</w:t>
      </w:r>
    </w:p>
    <w:p>
      <w:pPr>
        <w:pStyle w:val="Heading2"/>
        <w:spacing w:before="240" w:after="120"/>
      </w:pPr>
      <w:r>
        <w:rPr>
          <w:rFonts w:ascii="Arial" w:cs="Arial" w:eastAsia="Arial" w:hAnsi="Arial"/>
          <w:b/>
          <w:bCs/>
          <w:color w:val="2E75B6"/>
          <w:sz w:val="28"/>
          <w:szCs w:val="28"/>
        </w:rPr>
        <w:t xml:space="preserve">5.1 What Makes Long-Term Sense</w:t>
      </w:r>
    </w:p>
    <w:p>
      <w:pPr>
        <w:spacing w:before="60" w:after="100"/>
        <w:jc w:val="both"/>
      </w:pPr>
      <w:r>
        <w:rPr>
          <w:rFonts w:ascii="Arial" w:cs="Arial" w:eastAsia="Arial" w:hAnsi="Arial"/>
          <w:b w:val="false"/>
          <w:bCs w:val="false"/>
          <w:i w:val="false"/>
          <w:iCs w:val="false"/>
          <w:color w:val="000000"/>
          <w:sz w:val="20"/>
          <w:szCs w:val="20"/>
        </w:rPr>
        <w:t xml:space="preserve">The author does not dismiss the long-term lunar potential. Scientific embedded use cases have genuine intrinsic logic:</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Telescopes on the far side — shielded from Earth's radio frequency interference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Asteroid detection and astronomical observation — uninterrupted, atmosphere-free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On-board scientific computing for exploration missions — internal latency acceptable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Very long-term archiving in lava tubes (stable temperatures, radiation shielding)</w:t>
      </w:r>
    </w:p>
    <w:p>
      <w:pPr>
        <w:spacing w:before="80" w:after="80"/>
      </w:pPr>
      <w:r>
        <w:t xml:space="preserve"/>
      </w:r>
    </w:p>
    <w:p>
      <w:pPr>
        <w:pStyle w:val="Heading2"/>
        <w:spacing w:before="240" w:after="120"/>
      </w:pPr>
      <w:r>
        <w:rPr>
          <w:rFonts w:ascii="Arial" w:cs="Arial" w:eastAsia="Arial" w:hAnsi="Arial"/>
          <w:b/>
          <w:bCs/>
          <w:color w:val="2E75B6"/>
          <w:sz w:val="28"/>
          <w:szCs w:val="28"/>
        </w:rPr>
        <w:t xml:space="preserve">5.2 What Does Not Hold Up</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Obstacle</w:t>
            </w:r>
          </w:p>
        </w:tc>
        <w:tc>
          <w:tcPr>
            <w:tcW w:type="dxa" w:w="6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Status — March 24, 2026</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Landing success rate</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Over 60% failure rate across last 10 commercial/national attempts (2019–2025)</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Lunar dust (regolith)</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Ultra-abrasive, electrostatic, no industrial solution deployed</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Far side energy</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direct solar access. Compact nuclear not deployed at scale</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Latency</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1.3 seconds one-way — eliminates 95% of commercial mass-market use cases</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Maintenance</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ISS EVA: millions $ and months of prep for 1 component. Moon: 6–18 months</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Radiation protection</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magnetosphere. Permanent surface exposure identical to LEO</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SLA achievable</w:t>
            </w:r>
          </w:p>
        </w:tc>
        <w:tc>
          <w:tcPr>
            <w:tcW w:type="dxa" w:w="63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 no insurer, no jurisdiction, no intervention logistics</w:t>
            </w:r>
          </w:p>
        </w:tc>
      </w:tr>
    </w:tbl>
    <w:p>
      <w:pPr>
        <w:spacing w:before="80" w:after="80"/>
      </w:pPr>
      <w:r>
        <w:t xml:space="preserve"/>
      </w:r>
    </w:p>
    <w:p>
      <w:pPr>
        <w:pBdr>
          <w:left w:val="thick" w:color="2E75B6" w:sz="12"/>
        </w:pBdr>
        <w:spacing w:before="120" w:after="120"/>
        <w:ind w:left="360"/>
        <w:jc w:val="both"/>
      </w:pPr>
      <w:r>
        <w:rPr>
          <w:rFonts w:ascii="Arial" w:cs="Arial" w:eastAsia="Arial" w:hAnsi="Arial"/>
          <w:i/>
          <w:iCs/>
          <w:color w:val="595959"/>
          <w:sz w:val="19"/>
          <w:szCs w:val="19"/>
        </w:rPr>
        <w:t xml:space="preserve">Realistic timeline for operational and reliable scientific lunar datacenters: 2045–2060, subject to a minimum of 2 years of continuous support infrastructure validation. Timeline for mass-market use: undefined.</w:t>
      </w:r>
    </w:p>
    <w:p>
      <w:r>
        <w:br w:type="page"/>
      </w:r>
    </w:p>
    <w:p>
      <w:pPr>
        <w:pStyle w:val="Heading1"/>
        <w:spacing w:before="320" w:after="160"/>
      </w:pPr>
      <w:r>
        <w:rPr>
          <w:rFonts w:ascii="Arial" w:cs="Arial" w:eastAsia="Arial" w:hAnsi="Arial"/>
          <w:b/>
          <w:bCs/>
          <w:color w:val="1F3864"/>
          <w:sz w:val="36"/>
          <w:szCs w:val="36"/>
        </w:rPr>
        <w:t xml:space="preserve">6. Epilogue — TERAfab and the Meaning of Priorities</w:t>
      </w:r>
    </w:p>
    <w:p>
      <w:pPr>
        <w:pStyle w:val="Heading2"/>
        <w:spacing w:before="240" w:after="120"/>
      </w:pPr>
      <w:r>
        <w:rPr>
          <w:rFonts w:ascii="Arial" w:cs="Arial" w:eastAsia="Arial" w:hAnsi="Arial"/>
          <w:b/>
          <w:bCs/>
          <w:color w:val="2E75B6"/>
          <w:sz w:val="28"/>
          <w:szCs w:val="28"/>
        </w:rPr>
        <w:t xml:space="preserve">6.1 What TERAfab Inadvertently Confirms</w:t>
      </w:r>
    </w:p>
    <w:p>
      <w:pPr>
        <w:spacing w:before="60" w:after="100"/>
        <w:jc w:val="both"/>
      </w:pPr>
      <w:r>
        <w:rPr>
          <w:rFonts w:ascii="Arial" w:cs="Arial" w:eastAsia="Arial" w:hAnsi="Arial"/>
          <w:b w:val="false"/>
          <w:bCs w:val="false"/>
          <w:i w:val="false"/>
          <w:iCs w:val="false"/>
          <w:color w:val="000000"/>
          <w:sz w:val="20"/>
          <w:szCs w:val="20"/>
        </w:rPr>
        <w:t xml:space="preserve">TERAfab, announced March 22, 2026, paradoxically validates a key argument of this white paper: Elon Musk himself acknowledges that chip scarcity is the real bottleneck of his ambitions. His response — manufacturing his own components — is a terrestrial, industrial, vertically integrated answer. This is exactly the logic we defend for datacenters: solve problems where they arise, with available tools and the applicable laws of physics, before projecting unproven solutions into space.</w:t>
      </w:r>
    </w:p>
    <w:p>
      <w:pPr>
        <w:pStyle w:val="Heading2"/>
        <w:spacing w:before="240" w:after="120"/>
      </w:pPr>
      <w:r>
        <w:rPr>
          <w:rFonts w:ascii="Arial" w:cs="Arial" w:eastAsia="Arial" w:hAnsi="Arial"/>
          <w:b/>
          <w:bCs/>
          <w:color w:val="2E75B6"/>
          <w:sz w:val="28"/>
          <w:szCs w:val="28"/>
        </w:rPr>
        <w:t xml:space="preserve">6.2 The Fundamental Economic Question</w:t>
      </w:r>
    </w:p>
    <w:p>
      <w:pPr>
        <w:spacing w:before="60" w:after="100"/>
        <w:jc w:val="both"/>
      </w:pPr>
      <w:r>
        <w:rPr>
          <w:rFonts w:ascii="Arial" w:cs="Arial" w:eastAsia="Arial" w:hAnsi="Arial"/>
          <w:b w:val="false"/>
          <w:bCs w:val="false"/>
          <w:i w:val="false"/>
          <w:iCs w:val="false"/>
          <w:color w:val="000000"/>
          <w:sz w:val="20"/>
          <w:szCs w:val="20"/>
        </w:rPr>
        <w:t xml:space="preserve">Musk declares that 80% of TERAfab production is destined for space. This implies that 80% of a $20–25 billion facility is designed for a market whose end customers, proven use cases, contractable SLAs and recurring revenues have not been publicly demonstrated.</w:t>
      </w:r>
    </w:p>
    <w:p>
      <w:pPr>
        <w:spacing w:before="60" w:after="100"/>
        <w:jc w:val="both"/>
      </w:pPr>
      <w:r>
        <w:rPr>
          <w:rFonts w:ascii="Arial" w:cs="Arial" w:eastAsia="Arial" w:hAnsi="Arial"/>
          <w:b w:val="false"/>
          <w:bCs w:val="false"/>
          <w:i w:val="false"/>
          <w:iCs w:val="false"/>
          <w:color w:val="000000"/>
          <w:sz w:val="20"/>
          <w:szCs w:val="20"/>
        </w:rPr>
        <w:t xml:space="preserve">For comparison, a 50 MW underground geothermal datacenter costs $800 million to $1 billion — with existing customers, signed SLAs, available insurance, and technicians 30 minutes away.</w:t>
      </w:r>
    </w:p>
    <w:p>
      <w:pPr>
        <w:pStyle w:val="Heading2"/>
        <w:spacing w:before="240" w:after="120"/>
      </w:pPr>
      <w:r>
        <w:rPr>
          <w:rFonts w:ascii="Arial" w:cs="Arial" w:eastAsia="Arial" w:hAnsi="Arial"/>
          <w:b/>
          <w:bCs/>
          <w:color w:val="2E75B6"/>
          <w:sz w:val="28"/>
          <w:szCs w:val="28"/>
        </w:rPr>
        <w:t xml:space="preserve">6.3 The Environmental Question</w:t>
      </w:r>
    </w:p>
    <w:p>
      <w:pPr>
        <w:spacing w:before="60" w:after="100"/>
        <w:jc w:val="both"/>
      </w:pPr>
      <w:r>
        <w:rPr>
          <w:rFonts w:ascii="Arial" w:cs="Arial" w:eastAsia="Arial" w:hAnsi="Arial"/>
          <w:b w:val="false"/>
          <w:bCs w:val="false"/>
          <w:i w:val="false"/>
          <w:iCs w:val="false"/>
          <w:color w:val="000000"/>
          <w:sz w:val="20"/>
          <w:szCs w:val="20"/>
        </w:rPr>
        <w:t xml:space="preserve">SpaceX is requesting authorisation to launch 1 million satellites. Every Starship launch, even reusable, consumes cryogenic propellant, generates black soot emissions in the stratosphere, and contributes to the densification of an already critically saturated low Earth orbit. Researchers at Saarland University ("Dirty Bits in Low-Earth Orbit", 2025) calculated that an orbital datacenter powered by solar energy could still generate an order of magnitude greater emissions than a terrestrial datacenter, when accounting for launch emissions and atmospheric reentry of spent hardware.</w:t>
      </w:r>
    </w:p>
    <w:p>
      <w:pPr>
        <w:spacing w:before="60" w:after="100"/>
        <w:jc w:val="both"/>
      </w:pPr>
      <w:r>
        <w:rPr>
          <w:rFonts w:ascii="Arial" w:cs="Arial" w:eastAsia="Arial" w:hAnsi="Arial"/>
          <w:b w:val="false"/>
          <w:bCs w:val="false"/>
          <w:i w:val="false"/>
          <w:iCs w:val="false"/>
          <w:color w:val="000000"/>
          <w:sz w:val="20"/>
          <w:szCs w:val="20"/>
        </w:rPr>
        <w:t xml:space="preserve">An underground geothermal datacenter, by contrast, reduces CO2 emissions from the electricity grid, valorises waste heat for district heating, uses groundwater for cooling, and fits within a local circular economy. These two trajectories are not comparable from an environmental standpoint.</w:t>
      </w:r>
    </w:p>
    <w:p>
      <w:pPr>
        <w:pBdr>
          <w:left w:val="thick" w:color="2E75B6" w:sz="12"/>
        </w:pBdr>
        <w:spacing w:before="120" w:after="120"/>
        <w:ind w:left="360"/>
        <w:jc w:val="both"/>
      </w:pPr>
      <w:r>
        <w:rPr>
          <w:rFonts w:ascii="Arial" w:cs="Arial" w:eastAsia="Arial" w:hAnsi="Arial"/>
          <w:i/>
          <w:iCs/>
          <w:color w:val="595959"/>
          <w:sz w:val="19"/>
          <w:szCs w:val="19"/>
        </w:rPr>
        <w:t xml:space="preserve">We have not resolved the management of 130 million orbital debris already in place. We have not deployed a binding international protocol for inter-satellite coordination. We have not demonstrated that commercial lunar landings can maintain a success rate sufficient to justify infrastructure investment. Before adding one million satellites and orbital datacenters, these questions deserve answers.</w:t>
      </w:r>
    </w:p>
    <w:p>
      <w:r>
        <w:br w:type="page"/>
      </w:r>
    </w:p>
    <w:p>
      <w:pPr>
        <w:pStyle w:val="Heading1"/>
        <w:spacing w:before="320" w:after="160"/>
      </w:pPr>
      <w:r>
        <w:rPr>
          <w:rFonts w:ascii="Arial" w:cs="Arial" w:eastAsia="Arial" w:hAnsi="Arial"/>
          <w:b/>
          <w:bCs/>
          <w:color w:val="1F3864"/>
          <w:sz w:val="36"/>
          <w:szCs w:val="36"/>
        </w:rPr>
        <w:t xml:space="preserve">7. Recommendations</w:t>
      </w:r>
    </w:p>
    <w:p>
      <w:pPr>
        <w:pStyle w:val="Heading2"/>
        <w:spacing w:before="240" w:after="120"/>
      </w:pPr>
      <w:r>
        <w:rPr>
          <w:rFonts w:ascii="Arial" w:cs="Arial" w:eastAsia="Arial" w:hAnsi="Arial"/>
          <w:b/>
          <w:bCs/>
          <w:color w:val="2E75B6"/>
          <w:sz w:val="28"/>
          <w:szCs w:val="28"/>
        </w:rPr>
        <w:t xml:space="preserve">For Decision-Makers and Investors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Require that space datacenter business plans model the full lifecycle cost including: TMR, constellation refresh, debris management, absence of insurable SLA, and quantified Kessler risk.</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Require explicit modelling of the GPU/MRAM renewal cycle (section 2.5): economic obsolescence at 2–3 years, physical lifespan at 5–6 years, MRAM supply chain bottleneck at 12–24 months lead time.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Prioritise underground geothermal datacenters as the primary alternative before any space investment for mass-market use cases.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Commission legal analysis on contractual liability in case of orbital asset loss before signing any space colocation agreement.</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Condition any constellation datacenter investment on the publication of a certified deorbiting plan and an independent Kessler impact assessment.</w:t>
      </w:r>
    </w:p>
    <w:p>
      <w:pPr>
        <w:spacing w:before="80" w:after="80"/>
      </w:pPr>
      <w:r>
        <w:t xml:space="preserve"/>
      </w:r>
    </w:p>
    <w:p>
      <w:pPr>
        <w:pStyle w:val="Heading2"/>
        <w:spacing w:before="240" w:after="120"/>
      </w:pPr>
      <w:r>
        <w:rPr>
          <w:rFonts w:ascii="Arial" w:cs="Arial" w:eastAsia="Arial" w:hAnsi="Arial"/>
          <w:b/>
          <w:bCs/>
          <w:color w:val="2E75B6"/>
          <w:sz w:val="28"/>
          <w:szCs w:val="28"/>
        </w:rPr>
        <w:t xml:space="preserve">For Public Authorities and Regulators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Establish a binding international protocol for orbital data exchange (remaining fuel, satellite health, trajectories) between all operators — under ITU or a dedicated agency supervision.</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Make mega-constellation launch licences conditional on a funded and technically demonstrated debris removal plan.</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Develop a commercial liability legal framework for private space assets, independent of the 1967 Treaty.</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Invest in the EGS geothermal programme to secure energy supply for critical national datacenter infrastructure.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Require critical materials impact assessments (indium, tantalum, germanium, cobalt) for any constellation exceeding 10,000 satellites before licensing.</w:t>
      </w:r>
    </w:p>
    <w:p>
      <w:pPr>
        <w:spacing w:before="80" w:after="80"/>
      </w:pPr>
      <w:r>
        <w:t xml:space="preserve"/>
      </w:r>
    </w:p>
    <w:p>
      <w:pPr>
        <w:pStyle w:val="Heading2"/>
        <w:spacing w:before="240" w:after="120"/>
      </w:pPr>
      <w:r>
        <w:rPr>
          <w:rFonts w:ascii="Arial" w:cs="Arial" w:eastAsia="Arial" w:hAnsi="Arial"/>
          <w:b/>
          <w:bCs/>
          <w:color w:val="2E75B6"/>
          <w:sz w:val="28"/>
          <w:szCs w:val="28"/>
        </w:rPr>
        <w:t xml:space="preserve">For the Technical and Scientific Community</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Document and publish comparative lifecycle cost assessments between orbital datacenters and underground geothermal solutions over 25-year TCO horizons, explicitly modelling the GPU/MRAM renewal paradox (section 2.5).</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Develop rad-hard memory qualification protocols compatible with 7–10nm nodes to bridge the performance gap with commercial components.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Publish peer-reviewed assessments of critical raw material consumption under various orbital constellation refresh scenarios.</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Continue research on lunar lava tubes as long-term hosting infrastructure for scientific use cases, without commercial rush.</w:t>
      </w:r>
    </w:p>
    <w:p>
      <w:pPr>
        <w:spacing w:before="80" w:after="80"/>
      </w:pPr>
      <w:r>
        <w:t xml:space="preserve"/>
      </w:r>
    </w:p>
    <w:p>
      <w:pPr>
        <w:pStyle w:val="Heading2"/>
        <w:spacing w:before="240" w:after="120"/>
      </w:pPr>
      <w:r>
        <w:rPr>
          <w:rFonts w:ascii="Arial" w:cs="Arial" w:eastAsia="Arial" w:hAnsi="Arial"/>
          <w:b/>
          <w:bCs/>
          <w:color w:val="2E75B6"/>
          <w:sz w:val="28"/>
          <w:szCs w:val="28"/>
        </w:rPr>
        <w:t xml:space="preserve">For Insurers (NEW v2.0)</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Develop actuarial frameworks for orbital asset risk, distinguishing between Kessler-triggered total loss, solar event damage, and scheduled decommissioning.</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Quantify the insurability threshold for GPU refresh cycle costs in a 1-million-satellite constellation — currently assessed as not insurable.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Engage with the ITU and national space agencies to establish minimum technical standards (remaining propellant, collision avoidance capability) as preconditions for any future orbital datacenter liability product.</w:t>
      </w:r>
    </w:p>
    <w:p>
      <w:r>
        <w:br w:type="page"/>
      </w:r>
    </w:p>
    <w:p>
      <w:pPr>
        <w:pStyle w:val="Heading1"/>
        <w:spacing w:before="320" w:after="160"/>
      </w:pPr>
      <w:r>
        <w:rPr>
          <w:rFonts w:ascii="Arial" w:cs="Arial" w:eastAsia="Arial" w:hAnsi="Arial"/>
          <w:b/>
          <w:bCs/>
          <w:color w:val="1F3864"/>
          <w:sz w:val="36"/>
          <w:szCs w:val="36"/>
        </w:rPr>
        <w:t xml:space="preserve">8. NEW v2.0 — The Renewal Economics: A Perpetual Capital Destruction Model</w:t>
      </w:r>
    </w:p>
    <w:p>
      <w:pPr>
        <w:pStyle w:val="Heading2"/>
        <w:spacing w:before="240" w:after="120"/>
      </w:pPr>
      <w:r>
        <w:rPr>
          <w:rFonts w:ascii="Arial" w:cs="Arial" w:eastAsia="Arial" w:hAnsi="Arial"/>
          <w:b/>
          <w:bCs/>
          <w:color w:val="2E75B6"/>
          <w:sz w:val="28"/>
          <w:szCs w:val="28"/>
        </w:rPr>
        <w:t xml:space="preserve">8.1 The Full Cost of Continuous Constellation Replacement</w:t>
      </w:r>
    </w:p>
    <w:p>
      <w:pPr>
        <w:spacing w:before="60" w:after="100"/>
        <w:jc w:val="both"/>
      </w:pPr>
      <w:r>
        <w:rPr>
          <w:rFonts w:ascii="Arial" w:cs="Arial" w:eastAsia="Arial" w:hAnsi="Arial"/>
          <w:b w:val="false"/>
          <w:bCs w:val="false"/>
          <w:i w:val="false"/>
          <w:iCs w:val="false"/>
          <w:color w:val="000000"/>
          <w:sz w:val="20"/>
          <w:szCs w:val="20"/>
        </w:rPr>
        <w:t xml:space="preserve">The SpaceX orbital datacenter model implicitly relies on the "fly till you die" philosophy: satellites are not repaired, they are replaced. This transforms what appears to be a capital expenditure into a permanent operating expenditure — one that compounds with each hardware generation change.</w:t>
      </w:r>
    </w:p>
    <w:p>
      <w:pPr>
        <w:spacing w:before="60" w:after="100"/>
        <w:jc w:val="both"/>
      </w:pPr>
      <w:r>
        <w:rPr>
          <w:rFonts w:ascii="Arial" w:cs="Arial" w:eastAsia="Arial" w:hAnsi="Arial"/>
          <w:b w:val="false"/>
          <w:bCs w:val="false"/>
          <w:i w:val="false"/>
          <w:iCs w:val="false"/>
          <w:color w:val="000000"/>
          <w:sz w:val="20"/>
          <w:szCs w:val="20"/>
        </w:rPr>
        <w:t xml:space="preserve">Deutsche Bank estimates it will be well into the 2030s before orbital datacenters approach cost parity with terrestrial equivalents. Google's Suncatcher team estimates that launch costs must fall below $200/kg by 2035 for their orbital vision to become economically viable — a threshold that depends on Starship scaling to 180+ launches/year, itself undemonstrated.</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rPr>
          <w:tblHeader/>
        </w:trPr>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Cost Component</w:t>
            </w:r>
          </w:p>
        </w:tc>
        <w:tc>
          <w:tcPr>
            <w:tcW w:type="dxa" w:w="3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Terrestrial Datacenter</w:t>
            </w:r>
          </w:p>
        </w:tc>
        <w:tc>
          <w:tcPr>
            <w:tcW w:type="dxa" w:w="3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Orbital Constellation</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Hardware capex (1 GW)</w:t>
            </w:r>
          </w:p>
        </w:tc>
        <w:tc>
          <w:tcPr>
            <w:tcW w:type="dxa" w:w="31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~$15–20 billion</w:t>
            </w:r>
          </w:p>
        </w:tc>
        <w:tc>
          <w:tcPr>
            <w:tcW w:type="dxa" w:w="31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&gt;$50 billion (IEEE Spectrum)</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Refresh cycle cost</w:t>
            </w:r>
          </w:p>
        </w:tc>
        <w:tc>
          <w:tcPr>
            <w:tcW w:type="dxa" w:w="31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Modular: $2–5B per cycle</w:t>
            </w:r>
          </w:p>
        </w:tc>
        <w:tc>
          <w:tcPr>
            <w:tcW w:type="dxa" w:w="31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New constellation per cycle</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Annual failure replacement</w:t>
            </w:r>
          </w:p>
        </w:tc>
        <w:tc>
          <w:tcPr>
            <w:tcW w:type="dxa" w:w="31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&lt;1% — on-site swap</w:t>
            </w:r>
          </w:p>
        </w:tc>
        <w:tc>
          <w:tcPr>
            <w:tcW w:type="dxa" w:w="31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9% GPU loss rate (estimated)</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Memory supply chain</w:t>
            </w:r>
          </w:p>
        </w:tc>
        <w:tc>
          <w:tcPr>
            <w:tcW w:type="dxa" w:w="31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Commodity — global market</w:t>
            </w:r>
          </w:p>
        </w:tc>
        <w:tc>
          <w:tcPr>
            <w:tcW w:type="dxa" w:w="31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Boutique — 2–3 foundries</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TCO over 10 years (1 GW)</w:t>
            </w:r>
          </w:p>
        </w:tc>
        <w:tc>
          <w:tcPr>
            <w:tcW w:type="dxa" w:w="31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$25–30 billion (proven)</w:t>
            </w:r>
          </w:p>
        </w:tc>
        <w:tc>
          <w:tcPr>
            <w:tcW w:type="dxa" w:w="31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Undefined (no public model)</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MoffettNathanson estimate (100GW)</w:t>
            </w:r>
          </w:p>
        </w:tc>
        <w:tc>
          <w:tcPr>
            <w:tcW w:type="dxa" w:w="318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N/A (scale not attempted)</w:t>
            </w:r>
          </w:p>
        </w:tc>
        <w:tc>
          <w:tcPr>
            <w:tcW w:type="dxa" w:w="318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$4–5 trillion capex</w:t>
            </w:r>
          </w:p>
        </w:tc>
      </w:tr>
    </w:tbl>
    <w:p>
      <w:pPr>
        <w:spacing w:before="80" w:after="80"/>
      </w:pPr>
      <w:r>
        <w:t xml:space="preserve"/>
      </w:r>
    </w:p>
    <w:p>
      <w:pPr>
        <w:pStyle w:val="Heading2"/>
        <w:spacing w:before="240" w:after="120"/>
      </w:pPr>
      <w:r>
        <w:rPr>
          <w:rFonts w:ascii="Arial" w:cs="Arial" w:eastAsia="Arial" w:hAnsi="Arial"/>
          <w:b/>
          <w:bCs/>
          <w:color w:val="2E75B6"/>
          <w:sz w:val="28"/>
          <w:szCs w:val="28"/>
        </w:rPr>
        <w:t xml:space="preserve">8.2 The Starship Math: 25,000 Flights for 100 GW</w:t>
      </w:r>
    </w:p>
    <w:p>
      <w:pPr>
        <w:spacing w:before="60" w:after="100"/>
        <w:jc w:val="both"/>
      </w:pPr>
      <w:r>
        <w:rPr>
          <w:rFonts w:ascii="Arial" w:cs="Arial" w:eastAsia="Arial" w:hAnsi="Arial"/>
          <w:b w:val="false"/>
          <w:bCs w:val="false"/>
          <w:i w:val="false"/>
          <w:iCs w:val="false"/>
          <w:color w:val="000000"/>
          <w:sz w:val="20"/>
          <w:szCs w:val="20"/>
        </w:rPr>
        <w:t xml:space="preserve">According to Musk's own "basic math", adding 100 gigawatts of AI compute capacity annually requires launching one million tonnes of satellite per year. Aerospace engineer Andrew McCalip estimates this alone necessitates approximately 25,000 Starship flights — more than 68 per day, or nearly 3 per hour, every hour of every day.</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SpaceX's currently approved launch cadence: Texas Starbase 25/year, Florida LC-39A 44/year — totalling 69 launches/year approved</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Required cadence for 100 GW/year build rate: 25,000 Starship flights/year — a 360× increase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Each Starship launch burns ~4,700 tonnes of cryogenic propellant — totalling 117 million tonnes/year at target cadence</w:t>
      </w:r>
    </w:p>
    <w:p>
      <w:pPr>
        <w:pStyle w:val="ListParagraph"/>
        <w:numPr>
          <w:ilvl w:val="0"/>
          <w:numId w:val="2"/>
        </w:numPr>
        <w:spacing w:before="40" w:after="40"/>
      </w:pPr>
      <w:r>
        <w:rPr>
          <w:rFonts w:ascii="Arial" w:cs="Arial" w:eastAsia="Arial" w:hAnsi="Arial"/>
          <w:b w:val="false"/>
          <w:bCs w:val="false"/>
          <w:i w:val="false"/>
          <w:iCs w:val="false"/>
          <w:color w:val="000000"/>
          <w:sz w:val="20"/>
          <w:szCs w:val="20"/>
        </w:rPr>
        <w:t xml:space="preserve">Each orbital insertion adds new potential collision points in an already saturated LEO environment</w:t>
      </w:r>
    </w:p>
    <w:p>
      <w:pPr>
        <w:pBdr>
          <w:left w:val="thick" w:color="2E75B6" w:sz="12"/>
        </w:pBdr>
        <w:spacing w:before="120" w:after="120"/>
        <w:ind w:left="360"/>
        <w:jc w:val="both"/>
      </w:pPr>
      <w:r>
        <w:rPr>
          <w:rFonts w:ascii="Arial" w:cs="Arial" w:eastAsia="Arial" w:hAnsi="Arial"/>
          <w:i/>
          <w:iCs/>
          <w:color w:val="595959"/>
          <w:sz w:val="19"/>
          <w:szCs w:val="19"/>
        </w:rPr>
        <w:t xml:space="preserve">The 100 GW/year orbital datacenter vision requires a launch cadence 360 times higher than SpaceX's currently approved capacity. Before this is an engineering challenge, it is a regulatory, environmental, and logistical impossibility at the stated timeline.</w:t>
      </w:r>
    </w:p>
    <w:p>
      <w:r>
        <w:br w:type="page"/>
      </w:r>
    </w:p>
    <w:p>
      <w:pPr>
        <w:pStyle w:val="Heading1"/>
        <w:spacing w:before="320" w:after="160"/>
      </w:pPr>
      <w:r>
        <w:rPr>
          <w:rFonts w:ascii="Arial" w:cs="Arial" w:eastAsia="Arial" w:hAnsi="Arial"/>
          <w:b/>
          <w:bCs/>
          <w:color w:val="1F3864"/>
          <w:sz w:val="36"/>
          <w:szCs w:val="36"/>
        </w:rPr>
        <w:t xml:space="preserve">9. NEW v2.0 — Consolidated Risk Matrix</w:t>
      </w:r>
    </w:p>
    <w:p>
      <w:pPr>
        <w:spacing w:before="60" w:after="100"/>
        <w:jc w:val="both"/>
      </w:pPr>
      <w:r>
        <w:rPr>
          <w:rFonts w:ascii="Arial" w:cs="Arial" w:eastAsia="Arial" w:hAnsi="Arial"/>
          <w:b w:val="false"/>
          <w:bCs w:val="false"/>
          <w:i w:val="false"/>
          <w:iCs w:val="false"/>
          <w:color w:val="000000"/>
          <w:sz w:val="20"/>
          <w:szCs w:val="20"/>
        </w:rPr>
        <w:t xml:space="preserve">This section consolidates all identified risks across the white paper into a single decision-support matrix for investors, regulators and technical teams.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1600"/>
        <w:gridCol w:w="2000"/>
        <w:gridCol w:w="17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Risk Category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Probability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Impact</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Underground DC</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00000"/>
                <w:sz w:val="18"/>
                <w:szCs w:val="18"/>
              </w:rPr>
              <w:t xml:space="preserve">Orbital DC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Radiation damage (SEU, TID)</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Certain in LEO</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Not applicable</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Certain — unresolved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Kessler collision</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Active 700–1500km</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Total</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Not applicable</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Growing — unmanaged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Major solar flare (X-class)</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Cycle 25 peak</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Magnetosphere: free</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Direct exposure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MRAM supply chain failure</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 at scale</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Commodity market</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 global supply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GPU obsolescence (2–3yr)</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Certain</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Medium</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Modular on-site</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Full sat. replace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SLA non-performance</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Certain (orbital)</w:t>
            </w:r>
          </w:p>
        </w:tc>
        <w:tc>
          <w:tcPr>
            <w:tcW w:type="dxa" w:w="160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Fatal</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Insurable 99.999%</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Not insurable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Critical material shortage</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Medium-term</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Standard components</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Indium/Ge/Ta/Co</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Induced seismicity (EGS)</w:t>
            </w:r>
          </w:p>
        </w:tc>
        <w:tc>
          <w:tcPr>
            <w:tcW w:type="dxa" w:w="16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Manageable</w:t>
            </w:r>
          </w:p>
        </w:tc>
        <w:tc>
          <w:tcPr>
            <w:tcW w:type="dxa" w:w="16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Low</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Monitored, known</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Not applicable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Regulatory/FCC denial</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Significant</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Standard permits</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1M sat: uncertain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IPO narrative collapse</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Medium</w:t>
            </w:r>
          </w:p>
        </w:tc>
        <w:tc>
          <w:tcPr>
            <w:tcW w:type="dxa" w:w="160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High</w:t>
            </w:r>
          </w:p>
        </w:tc>
        <w:tc>
          <w:tcPr>
            <w:tcW w:type="dxa" w:w="20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Not IPO-dependent</w:t>
            </w:r>
          </w:p>
        </w:tc>
        <w:tc>
          <w:tcPr>
            <w:tcW w:type="dxa" w:w="1760"/>
            <w:tcBorders>
              <w:top w:val="single" w:color="CCCCCC" w:sz="1"/>
              <w:left w:val="single" w:color="CCCCCC" w:sz="1"/>
              <w:bottom w:val="single" w:color="CCCCCC" w:sz="1"/>
              <w:right w:val="single" w:color="CCCCCC" w:sz="1"/>
            </w:tcBorders>
            <w:shd w:fill="FCE4D6" w:val="clear"/>
            <w:tcMar>
              <w:top w:type="dxa" w:w="80"/>
              <w:left w:type="dxa" w:w="140"/>
              <w:bottom w:type="dxa" w:w="80"/>
              <w:right w:type="dxa" w:w="140"/>
            </w:tcMar>
            <w:vAlign w:val="center"/>
          </w:tcPr>
          <w:p>
            <w:pPr>
              <w:jc w:val="left"/>
            </w:pPr>
            <w:r>
              <w:rPr>
                <w:rFonts w:ascii="Arial" w:cs="Arial" w:eastAsia="Arial" w:hAnsi="Arial"/>
                <w:b w:val="false"/>
                <w:bCs w:val="false"/>
                <w:color w:val="000000"/>
                <w:sz w:val="18"/>
                <w:szCs w:val="18"/>
              </w:rPr>
              <w:t xml:space="preserve">Central dependency</w:t>
            </w:r>
          </w:p>
        </w:tc>
      </w:tr>
    </w:tbl>
    <w:p>
      <w:pPr>
        <w:spacing w:before="80" w:after="80"/>
      </w:pPr>
      <w:r>
        <w:t xml:space="preserve"/>
      </w:r>
    </w:p>
    <w:p>
      <w:pPr>
        <w:pBdr>
          <w:left w:val="thick" w:color="2E75B6" w:sz="12"/>
        </w:pBdr>
        <w:spacing w:before="120" w:after="120"/>
        <w:ind w:left="360"/>
        <w:jc w:val="both"/>
      </w:pPr>
      <w:r>
        <w:rPr>
          <w:rFonts w:ascii="Arial" w:cs="Arial" w:eastAsia="Arial" w:hAnsi="Arial"/>
          <w:i/>
          <w:iCs/>
          <w:color w:val="595959"/>
          <w:sz w:val="19"/>
          <w:szCs w:val="19"/>
        </w:rPr>
        <w:t xml:space="preserve">Risk summary: Underground geothermal datacenters carry known, manageable, insurable risks. Orbital datacenters carry certain, irreversible, uninsurable risks — compounded by a supply chain that does not yet exist at the required scale.</w:t>
      </w:r>
    </w:p>
    <w:p>
      <w:r>
        <w:br w:type="page"/>
      </w:r>
    </w:p>
    <w:p>
      <w:pPr>
        <w:pStyle w:val="Heading1"/>
        <w:spacing w:before="320" w:after="160"/>
      </w:pPr>
      <w:r>
        <w:rPr>
          <w:rFonts w:ascii="Arial" w:cs="Arial" w:eastAsia="Arial" w:hAnsi="Arial"/>
          <w:b/>
          <w:bCs/>
          <w:color w:val="1F3864"/>
          <w:sz w:val="36"/>
          <w:szCs w:val="36"/>
        </w:rPr>
        <w:t xml:space="preserve">10. The Overview Effect — When Space Itself Tells Us to Stay</w:t>
      </w:r>
    </w:p>
    <w:p>
      <w:pPr>
        <w:spacing w:before="60" w:after="100"/>
        <w:jc w:val="both"/>
      </w:pPr>
      <w:r>
        <w:rPr>
          <w:rFonts w:ascii="Arial" w:cs="Arial" w:eastAsia="Arial" w:hAnsi="Arial"/>
          <w:b w:val="false"/>
          <w:bCs w:val="false"/>
          <w:i w:val="false"/>
          <w:iCs w:val="false"/>
          <w:color w:val="000000"/>
          <w:sz w:val="20"/>
          <w:szCs w:val="20"/>
        </w:rPr>
        <w:t xml:space="preserve">There is one argument that no physicist, no economist, and no SLA specialist can make better than a human being who has actually been there.</w:t>
      </w:r>
    </w:p>
    <w:p>
      <w:pPr>
        <w:spacing w:before="60" w:after="100"/>
        <w:jc w:val="both"/>
      </w:pPr>
      <w:r>
        <w:rPr>
          <w:rFonts w:ascii="Arial" w:cs="Arial" w:eastAsia="Arial" w:hAnsi="Arial"/>
          <w:b w:val="false"/>
          <w:bCs w:val="false"/>
          <w:i w:val="false"/>
          <w:iCs w:val="false"/>
          <w:color w:val="000000"/>
          <w:sz w:val="20"/>
          <w:szCs w:val="20"/>
        </w:rPr>
        <w:t xml:space="preserve">Ron Garan spent nearly six months orbiting Earth aboard the International Space Station. He returned with one conclusion that no investor presentation has ever quoted: the planet is fragile, unified, and irreplaceable.</w:t>
      </w:r>
    </w:p>
    <w:p>
      <w:pPr>
        <w:spacing w:before="60" w:after="100"/>
        <w:jc w:val="both"/>
      </w:pPr>
      <w:r>
        <w:rPr>
          <w:rFonts w:ascii="Arial" w:cs="Arial" w:eastAsia="Arial" w:hAnsi="Arial"/>
          <w:b w:val="false"/>
          <w:bCs w:val="false"/>
          <w:i w:val="false"/>
          <w:iCs w:val="false"/>
          <w:color w:val="000000"/>
          <w:sz w:val="20"/>
          <w:szCs w:val="20"/>
        </w:rPr>
        <w:t xml:space="preserve">From 400 kilometres above the surface, political borders disappear. Economic competition disappears. What remains is a single, thin blue line — the atmosphere — suspended between life and the lethal void. Garan calls it the Overview Effect: a profound cognitive shift where the separation between humanity and its environment simply vanishes. What you see is not a resource to be divided. It is a rare life-support system requiring urgent collective stewardship.</w:t>
      </w:r>
    </w:p>
    <w:p>
      <w:pPr>
        <w:spacing w:before="60" w:after="100"/>
        <w:jc w:val="both"/>
      </w:pPr>
      <w:r>
        <w:rPr>
          <w:rFonts w:ascii="Arial" w:cs="Arial" w:eastAsia="Arial" w:hAnsi="Arial"/>
          <w:b w:val="false"/>
          <w:bCs w:val="false"/>
          <w:i w:val="false"/>
          <w:iCs w:val="false"/>
          <w:color w:val="000000"/>
          <w:sz w:val="20"/>
          <w:szCs w:val="20"/>
        </w:rPr>
        <w:t xml:space="preserve">The tragic irony of March 2026 is this: the same technological ambition that sends humans into orbit to discover this humility is simultaneously planning to fill that fragile atmospheric shell with one million additional satellites, to inject stratospheric black soot from thousands of Starship launches annually, and to accelerate a Kessler debris chain already actively generating collisions between 700 and 1,500 kilometres altitude.</w:t>
      </w:r>
    </w:p>
    <w:p>
      <w:pPr>
        <w:spacing w:before="80" w:after="80"/>
      </w:pPr>
      <w:r>
        <w:t xml:space="preserve"/>
      </w:r>
    </w:p>
    <w:p>
      <w:pPr>
        <w:spacing w:before="60" w:after="100"/>
        <w:jc w:val="both"/>
      </w:pPr>
      <w:r>
        <w:rPr>
          <w:rFonts w:ascii="Arial" w:cs="Arial" w:eastAsia="Arial" w:hAnsi="Arial"/>
          <w:b/>
          <w:bCs/>
          <w:i w:val="false"/>
          <w:iCs w:val="false"/>
          <w:color w:val="000000"/>
          <w:sz w:val="22"/>
          <w:szCs w:val="22"/>
        </w:rPr>
        <w:t xml:space="preserve">The Overview Effect says: take care of what you have.</w:t>
      </w:r>
    </w:p>
    <w:p>
      <w:pPr>
        <w:spacing w:before="60" w:after="100"/>
        <w:jc w:val="both"/>
      </w:pPr>
      <w:r>
        <w:rPr>
          <w:rFonts w:ascii="Arial" w:cs="Arial" w:eastAsia="Arial" w:hAnsi="Arial"/>
          <w:b/>
          <w:bCs/>
          <w:i w:val="false"/>
          <w:iCs w:val="false"/>
          <w:color w:val="000000"/>
          <w:sz w:val="22"/>
          <w:szCs w:val="22"/>
        </w:rPr>
        <w:t xml:space="preserve">The current space business model says: monetise the access route.</w:t>
      </w:r>
    </w:p>
    <w:p>
      <w:pPr>
        <w:spacing w:before="80" w:after="80"/>
      </w:pPr>
      <w:r>
        <w:t xml:space="preserve"/>
      </w:r>
    </w:p>
    <w:p>
      <w:pPr>
        <w:spacing w:before="60" w:after="100"/>
        <w:jc w:val="both"/>
      </w:pPr>
      <w:r>
        <w:rPr>
          <w:rFonts w:ascii="Arial" w:cs="Arial" w:eastAsia="Arial" w:hAnsi="Arial"/>
          <w:b w:val="false"/>
          <w:bCs w:val="false"/>
          <w:i w:val="false"/>
          <w:iCs w:val="false"/>
          <w:color w:val="000000"/>
          <w:sz w:val="20"/>
          <w:szCs w:val="20"/>
        </w:rPr>
        <w:t xml:space="preserve">These two visions are not compatible. Garan came back from space a convinced environmentalist — not a space colonist. That distinction matters enormously. He did not return saying we must leave. He returned saying we must protect. The cosmos did not make him dream of escape. It made him understand, with visceral clarity, that there is no Plan B. There is only Plan A. And Plan A is this blue sphere, with its magnetosphere, its geothermal heat, its water cycles, its atmosphere — the most sophisticated life-support and infrastructure-protection system ever assembled, over 4.5 billion years, free of charge, permanently maintained, never requiring a maintenance window.</w:t>
      </w:r>
    </w:p>
    <w:p>
      <w:pPr>
        <w:spacing w:before="60" w:after="100"/>
        <w:jc w:val="both"/>
      </w:pPr>
      <w:r>
        <w:rPr>
          <w:rFonts w:ascii="Arial" w:cs="Arial" w:eastAsia="Arial" w:hAnsi="Arial"/>
          <w:b w:val="false"/>
          <w:bCs w:val="false"/>
          <w:i w:val="false"/>
          <w:iCs w:val="false"/>
          <w:color w:val="000000"/>
          <w:sz w:val="20"/>
          <w:szCs w:val="20"/>
        </w:rPr>
        <w:t xml:space="preserve">After 40 years building embedded systems that depend on the atmosphere, the magnetosphere, and the physical integrity of our planet, I share his conclusion completely. We are not separate from our environment. We are built from it.</w:t>
      </w:r>
    </w:p>
    <w:p>
      <w:pPr>
        <w:pBdr>
          <w:left w:val="thick" w:color="2E75B6" w:sz="12"/>
        </w:pBdr>
        <w:spacing w:before="120" w:after="120"/>
        <w:ind w:left="360"/>
        <w:jc w:val="both"/>
      </w:pPr>
      <w:r>
        <w:rPr>
          <w:rFonts w:ascii="Arial" w:cs="Arial" w:eastAsia="Arial" w:hAnsi="Arial"/>
          <w:i/>
          <w:iCs/>
          <w:color w:val="595959"/>
          <w:sz w:val="19"/>
          <w:szCs w:val="19"/>
        </w:rPr>
        <w:t xml:space="preserve">The most important data point about space infrastructure is not the radiation level, not the SLA impossibility, not the Kessler risk. It is this: every human being who has seen Earth from the outside has come back with the same message. Take care of it. It is all we have.</w:t>
      </w:r>
    </w:p>
    <w:p>
      <w:r>
        <w:br w:type="page"/>
      </w:r>
    </w:p>
    <w:p>
      <w:pPr>
        <w:pStyle w:val="Heading1"/>
        <w:spacing w:before="320" w:after="160"/>
      </w:pPr>
      <w:r>
        <w:rPr>
          <w:rFonts w:ascii="Arial" w:cs="Arial" w:eastAsia="Arial" w:hAnsi="Arial"/>
          <w:b/>
          <w:bCs/>
          <w:color w:val="1F3864"/>
          <w:sz w:val="36"/>
          <w:szCs w:val="36"/>
        </w:rPr>
        <w:t xml:space="preserve">Conclusion</w:t>
      </w:r>
    </w:p>
    <w:p>
      <w:pPr>
        <w:spacing w:before="60" w:after="100"/>
        <w:jc w:val="both"/>
      </w:pPr>
      <w:r>
        <w:rPr>
          <w:rFonts w:ascii="Arial" w:cs="Arial" w:eastAsia="Arial" w:hAnsi="Arial"/>
          <w:b w:val="false"/>
          <w:bCs w:val="false"/>
          <w:i w:val="false"/>
          <w:iCs w:val="false"/>
          <w:color w:val="000000"/>
          <w:sz w:val="20"/>
          <w:szCs w:val="20"/>
        </w:rPr>
        <w:t xml:space="preserve">TERAfab is a spectacular announcement. It illustrates the power of technological narrative and Elon Musk's ability to mobilise capital around a vision. But physics, economics, and common sense do not negotiate with pitch decks.</w:t>
      </w:r>
    </w:p>
    <w:p>
      <w:pPr>
        <w:spacing w:before="60" w:after="100"/>
        <w:jc w:val="both"/>
      </w:pPr>
      <w:r>
        <w:rPr>
          <w:rFonts w:ascii="Arial" w:cs="Arial" w:eastAsia="Arial" w:hAnsi="Arial"/>
          <w:b w:val="false"/>
          <w:bCs w:val="false"/>
          <w:i w:val="false"/>
          <w:iCs w:val="false"/>
          <w:color w:val="000000"/>
          <w:sz w:val="20"/>
          <w:szCs w:val="20"/>
        </w:rPr>
        <w:t xml:space="preserve">80% of a $25 billion fab's production destined for space, with no public feasibility demonstration, no identified end customers, no possible SLA, no solution to orbital debris, no protection against solar flares, in a low Earth orbit already in a state of critical saturation — this is called a bet. A bet that IPO investors will fund, and that the laws of physics will evaluate without appeal.</w:t>
      </w:r>
    </w:p>
    <w:p>
      <w:pPr>
        <w:spacing w:before="60" w:after="100"/>
        <w:jc w:val="both"/>
      </w:pPr>
      <w:r>
        <w:rPr>
          <w:rFonts w:ascii="Arial" w:cs="Arial" w:eastAsia="Arial" w:hAnsi="Arial"/>
          <w:b w:val="false"/>
          <w:bCs w:val="false"/>
          <w:i w:val="false"/>
          <w:iCs w:val="false"/>
          <w:color w:val="000000"/>
          <w:sz w:val="20"/>
          <w:szCs w:val="20"/>
        </w:rPr>
        <w:t xml:space="preserve">Version 2.0 of this white paper adds a dimension that Version 1.0 had identified but not fully quantified: the GPU/MRAM renewal paradox. The 2–3 year economic obsolescence cycle is structurally incompatible with the 5–6 year physical satellite lifespan. The space-grade MRAM supply chain, currently producing tens of thousands of units per year, cannot scale to hundreds of millions without a decade-long industrial buildout that does not exist, has not been funded, and has not been planned. The critical raw materials required — indium, tantalum, germanium, cobalt — are geographically concentrated, politically sensitive, and already under pressure from competing demands.</w:t>
      </w:r>
    </w:p>
    <w:p>
      <w:pPr>
        <w:spacing w:before="60" w:after="100"/>
        <w:jc w:val="both"/>
      </w:pPr>
      <w:r>
        <w:rPr>
          <w:rFonts w:ascii="Arial" w:cs="Arial" w:eastAsia="Arial" w:hAnsi="Arial"/>
          <w:b w:val="false"/>
          <w:bCs w:val="false"/>
          <w:i w:val="false"/>
          <w:iCs w:val="false"/>
          <w:color w:val="000000"/>
          <w:sz w:val="20"/>
          <w:szCs w:val="20"/>
        </w:rPr>
        <w:t xml:space="preserve">The pragmatic, economical and resilient answer lies beneath our feet. It is called geothermal energy. It is called underground infrastructure. It is called the Earth's magnetosphere — the most effective and least expensive protection in the known universe, available free of charge at the surface of our planet.</w:t>
      </w:r>
    </w:p>
    <w:p>
      <w:pPr>
        <w:spacing w:before="60" w:after="100"/>
        <w:jc w:val="both"/>
      </w:pPr>
      <w:r>
        <w:rPr>
          <w:rFonts w:ascii="Arial" w:cs="Arial" w:eastAsia="Arial" w:hAnsi="Arial"/>
          <w:b w:val="false"/>
          <w:bCs w:val="false"/>
          <w:i w:val="false"/>
          <w:iCs w:val="false"/>
          <w:color w:val="000000"/>
          <w:sz w:val="20"/>
          <w:szCs w:val="20"/>
        </w:rPr>
        <w:t xml:space="preserve">The challenge of our generation is not to colonise space for data storage. It is to intelligently manage what we have already built, to avoid repeating in space the organisational failures we have not yet corrected on Earth, and to build infrastructure that is resilient to the real threats of this century: climatic, military, and solar.</w:t>
      </w:r>
    </w:p>
    <w:p>
      <w:pPr>
        <w:spacing w:before="60" w:after="100"/>
        <w:jc w:val="both"/>
      </w:pPr>
      <w:r>
        <w:rPr>
          <w:rFonts w:ascii="Arial" w:cs="Arial" w:eastAsia="Arial" w:hAnsi="Arial"/>
          <w:b w:val="false"/>
          <w:bCs w:val="false"/>
          <w:i w:val="false"/>
          <w:iCs w:val="false"/>
          <w:color w:val="000000"/>
          <w:sz w:val="20"/>
          <w:szCs w:val="20"/>
        </w:rPr>
        <w:t xml:space="preserve">We have a Plan A. It is called Earth. It is the only one that has ever worked. Let us not outsource it.</w:t>
      </w:r>
    </w:p>
    <w:p>
      <w:pPr>
        <w:spacing w:before="80" w:after="80"/>
      </w:pPr>
      <w:r>
        <w:t xml:space="preserve"/>
      </w:r>
    </w:p>
    <w:p>
      <w:pPr>
        <w:spacing w:before="200" w:after="200"/>
        <w:jc w:val="center"/>
      </w:pPr>
      <w:r>
        <w:rPr>
          <w:rFonts w:ascii="Arial" w:cs="Arial" w:eastAsia="Arial" w:hAnsi="Arial"/>
          <w:b/>
          <w:bCs/>
          <w:i/>
          <w:iCs/>
          <w:color w:val="1F3864"/>
          <w:sz w:val="22"/>
          <w:szCs w:val="22"/>
        </w:rPr>
        <w:t xml:space="preserve">The most advanced technology is sometimes the one that knows where it belongs.</w:t>
      </w:r>
    </w:p>
    <w:p>
      <w:pPr>
        <w:pBdr>
          <w:bottom w:val="single" w:color="2E75B6" w:sz="4" w:space="1"/>
        </w:pBdr>
        <w:spacing w:before="160" w:after="160"/>
      </w:pPr>
      <w:r>
        <w:t xml:space="preserve"/>
      </w:r>
    </w:p>
    <w:p>
      <w:pPr>
        <w:pStyle w:val="Heading2"/>
        <w:spacing w:before="240" w:after="120"/>
      </w:pPr>
      <w:r>
        <w:rPr>
          <w:rFonts w:ascii="Arial" w:cs="Arial" w:eastAsia="Arial" w:hAnsi="Arial"/>
          <w:b/>
          <w:bCs/>
          <w:color w:val="2E75B6"/>
          <w:sz w:val="28"/>
          <w:szCs w:val="28"/>
        </w:rPr>
        <w:t xml:space="preserve">About the Author</w:t>
      </w:r>
    </w:p>
    <w:p>
      <w:pPr>
        <w:spacing w:before="60" w:after="100"/>
        <w:jc w:val="both"/>
      </w:pPr>
      <w:r>
        <w:rPr>
          <w:rFonts w:ascii="Arial" w:cs="Arial" w:eastAsia="Arial" w:hAnsi="Arial"/>
          <w:b w:val="false"/>
          <w:bCs w:val="false"/>
          <w:i w:val="false"/>
          <w:iCs w:val="false"/>
          <w:color w:val="000000"/>
          <w:sz w:val="20"/>
          <w:szCs w:val="20"/>
        </w:rPr>
        <w:t xml:space="preserve">Laurent Duval is CEO of ADS-B NETWORK SAS, a Brittany-based company specialising in real-time aeronautical and maritime surveillance systems. He has spent 40 years designing and deploying embedded systems in constrained environments, including polar research vessels such as the Commandant Charcot. His systems supply data streams to Airbus for flight test supervision and operate across internationally deployed real-time surveillance networks.</w:t>
      </w:r>
    </w:p>
    <w:p>
      <w:pPr>
        <w:spacing w:before="60" w:after="100"/>
        <w:jc w:val="both"/>
      </w:pPr>
      <w:r>
        <w:rPr>
          <w:rFonts w:ascii="Arial" w:cs="Arial" w:eastAsia="Arial" w:hAnsi="Arial"/>
          <w:b w:val="false"/>
          <w:bCs w:val="false"/>
          <w:i w:val="false"/>
          <w:iCs w:val="false"/>
          <w:color w:val="000000"/>
          <w:sz w:val="20"/>
          <w:szCs w:val="20"/>
        </w:rPr>
        <w:t xml:space="preserve">Professional contact: laurent.duval@adsbnetwork.com</w:t>
      </w:r>
    </w:p>
    <w:p>
      <w:pPr>
        <w:spacing w:before="80" w:after="80"/>
      </w:pPr>
      <w:r>
        <w:t xml:space="preserve"/>
      </w:r>
    </w:p>
    <w:p>
      <w:pPr>
        <w:spacing w:before="60" w:after="100"/>
        <w:jc w:val="both"/>
      </w:pPr>
      <w:r>
        <w:rPr>
          <w:rFonts w:ascii="Arial" w:cs="Arial" w:eastAsia="Arial" w:hAnsi="Arial"/>
          <w:b w:val="false"/>
          <w:bCs w:val="false"/>
          <w:i/>
          <w:iCs/>
          <w:color w:val="595959"/>
          <w:sz w:val="20"/>
          <w:szCs w:val="20"/>
        </w:rPr>
        <w:t xml:space="preserve">This white paper is freely distributable with attribution to the source. Version 2.0 — March 24, 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tabs>
        <w:tab w:val="right" w:pos="9026"/>
      </w:tabs>
    </w:pPr>
    <w:r>
      <w:rPr>
        <w:rFonts w:ascii="Arial" w:cs="Arial" w:eastAsia="Arial" w:hAnsi="Arial"/>
        <w:color w:val="595959"/>
        <w:sz w:val="16"/>
        <w:szCs w:val="16"/>
      </w:rPr>
      <w:t xml:space="preserve">ADS-B NETWORK SAS — Laurent Duval — laurent.duval@adsbnetwork.com</w:t>
    </w:r>
    <w:r>
      <w:rPr>
        <w:rFonts w:ascii="Arial" w:cs="Arial" w:eastAsia="Arial" w:hAnsi="Arial"/>
        <w:sz w:val="16"/>
        <w:szCs w:val="16"/>
      </w:rPr>
      <w:t xml:space="preserve">	</w:t>
    </w:r>
    <w:r>
      <w:rPr>
        <w:rFonts w:ascii="Arial" w:cs="Arial" w:eastAsia="Arial" w:hAnsi="Arial"/>
        <w:color w:val="595959"/>
        <w:sz w:val="16"/>
        <w:szCs w:val="16"/>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tabs>
        <w:tab w:val="right" w:pos="9026"/>
      </w:tabs>
    </w:pPr>
    <w:r>
      <w:rPr>
        <w:rFonts w:ascii="Arial" w:cs="Arial" w:eastAsia="Arial" w:hAnsi="Arial"/>
        <w:color w:val="595959"/>
        <w:sz w:val="16"/>
        <w:szCs w:val="16"/>
      </w:rPr>
      <w:t xml:space="preserve">WHITE PAPER — Digital Infrastructure: Earth First, Space Later</w:t>
    </w:r>
    <w:r>
      <w:rPr>
        <w:rFonts w:ascii="Arial" w:cs="Arial" w:eastAsia="Arial" w:hAnsi="Arial"/>
        <w:sz w:val="16"/>
        <w:szCs w:val="16"/>
      </w:rPr>
      <w:t xml:space="preserve">	</w:t>
    </w:r>
    <w:r>
      <w:rPr>
        <w:rFonts w:ascii="Arial" w:cs="Arial" w:eastAsia="Arial" w:hAnsi="Arial"/>
        <w:color w:val="595959"/>
        <w:sz w:val="16"/>
        <w:szCs w:val="16"/>
      </w:rPr>
      <w:t xml:space="preserve">v2.0 — March 24,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2E75B6"/>
      <w:sz w:val="28"/>
      <w:szCs w:val="28"/>
    </w:rPr>
  </w:style>
  <w:style w:type="paragraph" w:styleId="Heading3">
    <w:name w:val="Heading 3"/>
    <w:basedOn w:val="Normal"/>
    <w:next w:val="Normal"/>
    <w:qFormat/>
    <w:pPr>
      <w:spacing w:before="180" w:after="80"/>
      <w:outlineLvl w:val="2"/>
    </w:pPr>
    <w:rPr>
      <w:rFonts w:ascii="Arial" w:cs="Arial" w:eastAsia="Arial" w:hAnsi="Arial"/>
      <w:b/>
      <w:bCs/>
      <w:color w:val="5959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2026-03-24T10:07:19.847Z</dcterms:created>
  <dcterms:modified xsi:type="dcterms:W3CDTF">2026-03-24T10:07:19.848Z</dcterms:modified>
</cp:coreProperties>
</file>

<file path=docProps/custom.xml><?xml version="1.0" encoding="utf-8"?>
<Properties xmlns="http://schemas.openxmlformats.org/officeDocument/2006/custom-properties" xmlns:vt="http://schemas.openxmlformats.org/officeDocument/2006/docPropsVTypes"/>
</file>